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DAEEF3"/>
  <w:body>
    <w:p>
      <w:pPr>
        <w:rPr>
          <w:b/>
          <w:sz w:val="52"/>
          <w:szCs w:val="52"/>
        </w:rPr>
      </w:pPr>
      <w:r>
        <w:rPr>
          <w:b/>
          <w:sz w:val="52"/>
          <w:szCs w:val="52"/>
        </w:rPr>
        <w:pict>
          <v:shape id="_x0000_i1025" o:spt="136" type="#_x0000_t136" style="height:69.5pt;width:486.45pt;" fillcolor="#000000" filled="t" coordsize="21600,21600">
            <v:path/>
            <v:fill on="t" focussize="0,0"/>
            <v:stroke/>
            <v:imagedata o:title=""/>
            <o:lock v:ext="edit"/>
            <v:textpath on="t" fitshape="t" fitpath="t" trim="t" xscale="f" string="鄂尔多斯机场管理集团有限公司" style="font-family:宋体;font-size:36pt;v-text-align:center;"/>
            <v:shadow on="t" color="#868686" offset="1pt,0pt" offset2="-2pt,-4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r>
        <w:rPr>
          <w:b/>
          <w:sz w:val="52"/>
          <w:szCs w:val="52"/>
        </w:rPr>
        <w:pict>
          <v:shape id="_x0000_i1026" o:spt="136" type="#_x0000_t136" style="height:43.2pt;width:176.55pt;" fillcolor="#000000" filled="t" coordsize="21600,21600">
            <v:path/>
            <v:fill on="t" focussize="0,0"/>
            <v:stroke/>
            <v:imagedata o:title=""/>
            <o:lock v:ext="edit" text="f"/>
            <v:textpath on="t" fitshape="t" fitpath="t" trim="t" xscale="f" string="招标文件" style="font-family:宋体;font-size:36pt;v-text-align:center;"/>
            <v:shadow on="t" color="#868686" offset="2pt,1pt" offset2="-2pt,-2pt"/>
            <w10:wrap type="none"/>
            <w10:anchorlock/>
          </v:shape>
        </w:pict>
      </w: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center"/>
        <w:rPr>
          <w:b/>
          <w:sz w:val="52"/>
          <w:szCs w:val="52"/>
        </w:rPr>
      </w:pPr>
    </w:p>
    <w:p>
      <w:pPr>
        <w:jc w:val="both"/>
        <w:rPr>
          <w:b/>
          <w:sz w:val="52"/>
          <w:szCs w:val="52"/>
        </w:rPr>
      </w:pPr>
    </w:p>
    <w:p>
      <w:pPr>
        <w:jc w:val="center"/>
        <w:rPr>
          <w:rFonts w:ascii="仿宋_GB2312"/>
          <w:b/>
          <w:sz w:val="44"/>
          <w:szCs w:val="44"/>
        </w:rPr>
      </w:pPr>
      <w:r>
        <w:rPr>
          <w:rFonts w:hint="eastAsia" w:ascii="仿宋_GB2312"/>
          <w:b/>
          <w:sz w:val="44"/>
          <w:szCs w:val="44"/>
        </w:rPr>
        <w:t>项目名称：</w:t>
      </w:r>
      <w:r>
        <w:rPr>
          <w:rFonts w:ascii="仿宋_GB2312"/>
          <w:b/>
          <w:sz w:val="44"/>
          <w:szCs w:val="44"/>
        </w:rPr>
        <w:t>2019年财务报表审计服务</w:t>
      </w:r>
    </w:p>
    <w:p>
      <w:pPr>
        <w:jc w:val="center"/>
        <w:rPr>
          <w:rFonts w:ascii="仿宋_GB2312"/>
          <w:b/>
          <w:sz w:val="44"/>
          <w:szCs w:val="44"/>
        </w:rPr>
      </w:pPr>
      <w:r>
        <w:rPr>
          <w:rFonts w:hint="eastAsia" w:ascii="仿宋_GB2312"/>
          <w:b/>
          <w:sz w:val="44"/>
          <w:szCs w:val="44"/>
        </w:rPr>
        <w:t>项目编号：CG/JTGS-1</w:t>
      </w:r>
      <w:r>
        <w:rPr>
          <w:rFonts w:ascii="仿宋_GB2312"/>
          <w:b/>
          <w:sz w:val="44"/>
          <w:szCs w:val="44"/>
        </w:rPr>
        <w:t>9</w:t>
      </w:r>
      <w:r>
        <w:rPr>
          <w:rFonts w:hint="eastAsia" w:ascii="仿宋_GB2312"/>
          <w:b/>
          <w:sz w:val="44"/>
          <w:szCs w:val="44"/>
        </w:rPr>
        <w:t>-00</w:t>
      </w:r>
      <w:r>
        <w:rPr>
          <w:rFonts w:ascii="仿宋_GB2312"/>
          <w:b/>
          <w:sz w:val="44"/>
          <w:szCs w:val="44"/>
        </w:rPr>
        <w:t>8</w:t>
      </w:r>
      <w:r>
        <w:rPr>
          <w:rFonts w:hint="eastAsia" w:ascii="仿宋_GB2312"/>
          <w:b/>
          <w:sz w:val="44"/>
          <w:szCs w:val="44"/>
        </w:rPr>
        <w:t>-</w:t>
      </w:r>
      <w:r>
        <w:rPr>
          <w:rFonts w:ascii="仿宋_GB2312"/>
          <w:b/>
          <w:sz w:val="44"/>
          <w:szCs w:val="44"/>
        </w:rPr>
        <w:t>N</w:t>
      </w:r>
    </w:p>
    <w:p>
      <w:pPr>
        <w:jc w:val="center"/>
        <w:rPr>
          <w:rFonts w:ascii="仿宋_GB2312"/>
          <w:b/>
          <w:sz w:val="52"/>
          <w:szCs w:val="52"/>
        </w:rPr>
      </w:pPr>
    </w:p>
    <w:p>
      <w:pPr>
        <w:jc w:val="center"/>
        <w:rPr>
          <w:b/>
          <w:sz w:val="52"/>
          <w:szCs w:val="52"/>
        </w:rPr>
      </w:pPr>
      <w:r>
        <w:rPr>
          <w:rFonts w:hint="eastAsia"/>
          <w:b/>
          <w:sz w:val="52"/>
          <w:szCs w:val="52"/>
        </w:rPr>
        <w:t>2019年</w:t>
      </w:r>
      <w:r>
        <w:rPr>
          <w:b/>
          <w:sz w:val="52"/>
          <w:szCs w:val="52"/>
        </w:rPr>
        <w:t>12</w:t>
      </w:r>
      <w:r>
        <w:rPr>
          <w:rFonts w:hint="eastAsia"/>
          <w:b/>
          <w:sz w:val="52"/>
          <w:szCs w:val="52"/>
        </w:rPr>
        <w:t>月</w:t>
      </w:r>
      <w:r>
        <w:rPr>
          <w:b/>
          <w:sz w:val="52"/>
          <w:szCs w:val="52"/>
        </w:rPr>
        <w:t>17</w:t>
      </w:r>
      <w:r>
        <w:rPr>
          <w:rFonts w:hint="eastAsia"/>
          <w:b/>
          <w:sz w:val="52"/>
          <w:szCs w:val="52"/>
        </w:rPr>
        <w:t>日</w:t>
      </w:r>
    </w:p>
    <w:p>
      <w:pPr>
        <w:pageBreakBefore/>
        <w:widowControl/>
        <w:jc w:val="center"/>
      </w:pPr>
      <w:r>
        <w:rPr>
          <w:rFonts w:hint="eastAsia"/>
          <w:sz w:val="48"/>
          <w:szCs w:val="48"/>
        </w:rPr>
        <w:t>目录</w:t>
      </w:r>
      <w:bookmarkStart w:id="0" w:name="_Toc30031_WPSOffice_Level1"/>
    </w:p>
    <w:p>
      <w:pPr>
        <w:pStyle w:val="43"/>
        <w:tabs>
          <w:tab w:val="right" w:leader="dot" w:pos="9752"/>
        </w:tabs>
        <w:rPr>
          <w:rFonts w:ascii="仿宋_GB2312" w:hAnsi="仿宋_GB2312" w:eastAsia="仿宋_GB2312" w:cs="仿宋_GB2312"/>
          <w:b/>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TOC \o "1-2" \h \u </w:instrText>
      </w:r>
      <w:r>
        <w:rPr>
          <w:rFonts w:hint="eastAsia" w:ascii="仿宋_GB2312" w:hAnsi="仿宋_GB2312" w:eastAsia="仿宋_GB2312" w:cs="仿宋_GB2312"/>
          <w:sz w:val="32"/>
          <w:szCs w:val="32"/>
        </w:rPr>
        <w:fldChar w:fldCharType="separate"/>
      </w:r>
      <w:r>
        <w:fldChar w:fldCharType="begin"/>
      </w:r>
      <w:r>
        <w:instrText xml:space="preserve"> HYPERLINK \l "_Toc32131" </w:instrText>
      </w:r>
      <w:r>
        <w:fldChar w:fldCharType="separate"/>
      </w:r>
      <w:r>
        <w:rPr>
          <w:rFonts w:hint="eastAsia" w:ascii="仿宋_GB2312" w:hAnsi="仿宋_GB2312" w:eastAsia="仿宋_GB2312" w:cs="仿宋_GB2312"/>
          <w:b/>
          <w:sz w:val="32"/>
          <w:szCs w:val="32"/>
        </w:rPr>
        <w:t>一、竞争性磋商公告</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_Toc32131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3</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"_Toc13573" </w:instrText>
      </w:r>
      <w:r>
        <w:fldChar w:fldCharType="separate"/>
      </w:r>
      <w:r>
        <w:rPr>
          <w:rFonts w:hint="eastAsia" w:ascii="仿宋_GB2312" w:hAnsi="仿宋_GB2312" w:eastAsia="仿宋_GB2312" w:cs="仿宋_GB2312"/>
          <w:bCs/>
          <w:kern w:val="2"/>
          <w:sz w:val="32"/>
          <w:szCs w:val="32"/>
        </w:rPr>
        <w:t>（一）、项目概况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_Toc13573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"_Toc7313" </w:instrText>
      </w:r>
      <w:r>
        <w:fldChar w:fldCharType="separate"/>
      </w:r>
      <w:r>
        <w:rPr>
          <w:rFonts w:hint="eastAsia" w:ascii="仿宋_GB2312" w:hAnsi="仿宋_GB2312" w:eastAsia="仿宋_GB2312" w:cs="仿宋_GB2312"/>
          <w:bCs/>
          <w:kern w:val="2"/>
          <w:sz w:val="32"/>
          <w:szCs w:val="32"/>
        </w:rPr>
        <w:t>（二）、获取采购文件的时间、地点、方式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_Toc7313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"_Toc4322" </w:instrText>
      </w:r>
      <w:r>
        <w:fldChar w:fldCharType="separate"/>
      </w:r>
      <w:r>
        <w:rPr>
          <w:rFonts w:hint="eastAsia" w:ascii="仿宋_GB2312" w:hAnsi="仿宋_GB2312" w:eastAsia="仿宋_GB2312" w:cs="仿宋_GB2312"/>
          <w:bCs/>
          <w:kern w:val="2"/>
          <w:sz w:val="32"/>
          <w:szCs w:val="32"/>
        </w:rPr>
        <w:t>（三）、响应文件接收截止（开标）时间及地点</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_Toc4322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"_Toc29567" </w:instrText>
      </w:r>
      <w:r>
        <w:fldChar w:fldCharType="separate"/>
      </w:r>
      <w:r>
        <w:rPr>
          <w:rFonts w:hint="eastAsia" w:ascii="仿宋_GB2312" w:hAnsi="仿宋_GB2312" w:eastAsia="仿宋_GB2312" w:cs="仿宋_GB2312"/>
          <w:bCs/>
          <w:kern w:val="2"/>
          <w:sz w:val="32"/>
          <w:szCs w:val="32"/>
        </w:rPr>
        <w:t>（四）、联系方式</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_Toc29567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ascii="仿宋_GB2312" w:hAnsi="仿宋_GB2312" w:eastAsia="仿宋_GB2312" w:cs="仿宋_GB2312"/>
          <w:b/>
          <w:sz w:val="32"/>
          <w:szCs w:val="32"/>
        </w:rPr>
      </w:pPr>
      <w:r>
        <w:fldChar w:fldCharType="begin"/>
      </w:r>
      <w:r>
        <w:instrText xml:space="preserve"> HYPERLINK \l "_Toc2984" </w:instrText>
      </w:r>
      <w:r>
        <w:fldChar w:fldCharType="separate"/>
      </w:r>
      <w:r>
        <w:rPr>
          <w:rFonts w:hint="eastAsia" w:ascii="仿宋_GB2312" w:hAnsi="仿宋_GB2312" w:eastAsia="仿宋_GB2312" w:cs="仿宋_GB2312"/>
          <w:b/>
          <w:sz w:val="32"/>
          <w:szCs w:val="32"/>
        </w:rPr>
        <w:t>二、采购人需求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_Toc2984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5</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"_Toc18205" </w:instrText>
      </w:r>
      <w:r>
        <w:fldChar w:fldCharType="separate"/>
      </w:r>
      <w:r>
        <w:rPr>
          <w:rFonts w:hint="eastAsia" w:ascii="仿宋_GB2312" w:hAnsi="仿宋_GB2312" w:eastAsia="仿宋_GB2312" w:cs="仿宋_GB2312"/>
          <w:bCs/>
          <w:kern w:val="2"/>
          <w:sz w:val="32"/>
          <w:szCs w:val="32"/>
        </w:rPr>
        <w:t>（一）、项目基本情况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_Toc18205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"_Toc32032" </w:instrText>
      </w:r>
      <w:r>
        <w:fldChar w:fldCharType="separate"/>
      </w:r>
      <w:r>
        <w:rPr>
          <w:rFonts w:hint="eastAsia" w:ascii="仿宋_GB2312" w:hAnsi="仿宋_GB2312" w:eastAsia="仿宋_GB2312" w:cs="仿宋_GB2312"/>
          <w:bCs/>
          <w:kern w:val="2"/>
          <w:sz w:val="32"/>
          <w:szCs w:val="32"/>
        </w:rPr>
        <w:t>（二） 、采购内容及要求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_Toc32032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"_Toc1377" </w:instrText>
      </w:r>
      <w:r>
        <w:fldChar w:fldCharType="separate"/>
      </w:r>
      <w:r>
        <w:rPr>
          <w:rFonts w:hint="eastAsia" w:ascii="仿宋_GB2312" w:hAnsi="仿宋_GB2312" w:eastAsia="仿宋_GB2312" w:cs="仿宋_GB2312"/>
          <w:bCs/>
          <w:kern w:val="2"/>
          <w:sz w:val="32"/>
          <w:szCs w:val="32"/>
        </w:rPr>
        <w:t>（三） 、项目说明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_Toc1377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ascii="仿宋_GB2312" w:hAnsi="仿宋_GB2312" w:eastAsia="仿宋_GB2312" w:cs="仿宋_GB2312"/>
          <w:b/>
          <w:sz w:val="32"/>
          <w:szCs w:val="32"/>
        </w:rPr>
      </w:pPr>
      <w:r>
        <w:fldChar w:fldCharType="begin"/>
      </w:r>
      <w:r>
        <w:instrText xml:space="preserve"> HYPERLINK \l "_Toc880" </w:instrText>
      </w:r>
      <w:r>
        <w:fldChar w:fldCharType="separate"/>
      </w:r>
      <w:r>
        <w:rPr>
          <w:rFonts w:hint="eastAsia" w:ascii="仿宋_GB2312" w:hAnsi="仿宋_GB2312" w:eastAsia="仿宋_GB2312" w:cs="仿宋_GB2312"/>
          <w:b/>
          <w:bCs/>
          <w:kern w:val="44"/>
          <w:sz w:val="32"/>
          <w:szCs w:val="32"/>
        </w:rPr>
        <w:t>三、供应商须知</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_Toc880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7</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"_Toc17338" </w:instrText>
      </w:r>
      <w:r>
        <w:fldChar w:fldCharType="separate"/>
      </w:r>
      <w:r>
        <w:rPr>
          <w:rFonts w:hint="eastAsia" w:ascii="仿宋_GB2312" w:hAnsi="仿宋_GB2312" w:eastAsia="仿宋_GB2312" w:cs="仿宋_GB2312"/>
          <w:bCs/>
          <w:kern w:val="2"/>
          <w:sz w:val="32"/>
          <w:szCs w:val="32"/>
        </w:rPr>
        <w:t>（一）、供应商资格要求</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_Toc17338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"_Toc5801" </w:instrText>
      </w:r>
      <w:r>
        <w:fldChar w:fldCharType="separate"/>
      </w:r>
      <w:r>
        <w:rPr>
          <w:rFonts w:hint="eastAsia" w:ascii="仿宋_GB2312" w:hAnsi="仿宋_GB2312" w:eastAsia="仿宋_GB2312" w:cs="仿宋_GB2312"/>
          <w:bCs/>
          <w:kern w:val="2"/>
          <w:sz w:val="32"/>
          <w:szCs w:val="32"/>
        </w:rPr>
        <w:t>（二）、响应文件应包括</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_Toc5801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50"/>
        <w:tabs>
          <w:tab w:val="right" w:leader="dot" w:pos="9752"/>
        </w:tabs>
        <w:ind w:left="480"/>
        <w:rPr>
          <w:rFonts w:ascii="仿宋_GB2312" w:hAnsi="仿宋_GB2312" w:eastAsia="仿宋_GB2312" w:cs="仿宋_GB2312"/>
          <w:sz w:val="32"/>
          <w:szCs w:val="32"/>
        </w:rPr>
      </w:pPr>
      <w:r>
        <w:fldChar w:fldCharType="begin"/>
      </w:r>
      <w:r>
        <w:instrText xml:space="preserve"> HYPERLINK \l "_Toc22764" </w:instrText>
      </w:r>
      <w:r>
        <w:fldChar w:fldCharType="separate"/>
      </w:r>
      <w:r>
        <w:rPr>
          <w:rFonts w:hint="eastAsia" w:ascii="仿宋_GB2312" w:hAnsi="仿宋_GB2312" w:eastAsia="仿宋_GB2312" w:cs="仿宋_GB2312"/>
          <w:bCs/>
          <w:kern w:val="2"/>
          <w:sz w:val="32"/>
          <w:szCs w:val="32"/>
        </w:rPr>
        <w:t>（三）、评标与中标</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PAGEREF _Toc22764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sz w:val="32"/>
          <w:szCs w:val="32"/>
        </w:rPr>
        <w:fldChar w:fldCharType="end"/>
      </w:r>
    </w:p>
    <w:p>
      <w:pPr>
        <w:pStyle w:val="43"/>
        <w:tabs>
          <w:tab w:val="right" w:leader="dot" w:pos="9752"/>
        </w:tabs>
        <w:rPr>
          <w:rFonts w:ascii="仿宋_GB2312" w:hAnsi="仿宋_GB2312" w:eastAsia="仿宋_GB2312" w:cs="仿宋_GB2312"/>
          <w:b/>
          <w:sz w:val="32"/>
          <w:szCs w:val="32"/>
        </w:rPr>
      </w:pPr>
      <w:r>
        <w:fldChar w:fldCharType="begin"/>
      </w:r>
      <w:r>
        <w:instrText xml:space="preserve"> HYPERLINK \l "_Toc15780" </w:instrText>
      </w:r>
      <w:r>
        <w:fldChar w:fldCharType="separate"/>
      </w:r>
      <w:r>
        <w:rPr>
          <w:rFonts w:hint="eastAsia" w:ascii="仿宋_GB2312" w:hAnsi="仿宋_GB2312" w:eastAsia="仿宋_GB2312" w:cs="仿宋_GB2312"/>
          <w:b/>
          <w:bCs/>
          <w:kern w:val="44"/>
          <w:sz w:val="32"/>
          <w:szCs w:val="32"/>
        </w:rPr>
        <w:t>四、响应文件格式与要求</w:t>
      </w:r>
      <w:r>
        <w:rPr>
          <w:rFonts w:hint="eastAsia" w:ascii="仿宋_GB2312" w:hAnsi="仿宋_GB2312" w:eastAsia="仿宋_GB2312" w:cs="仿宋_GB2312"/>
          <w:b/>
          <w:sz w:val="32"/>
          <w:szCs w:val="32"/>
        </w:rPr>
        <w:tab/>
      </w:r>
      <w:r>
        <w:rPr>
          <w:rFonts w:hint="eastAsia" w:ascii="仿宋_GB2312" w:hAnsi="仿宋_GB2312" w:eastAsia="仿宋_GB2312" w:cs="仿宋_GB2312"/>
          <w:b/>
          <w:sz w:val="32"/>
          <w:szCs w:val="32"/>
        </w:rPr>
        <w:fldChar w:fldCharType="begin"/>
      </w:r>
      <w:r>
        <w:rPr>
          <w:rFonts w:hint="eastAsia" w:ascii="仿宋_GB2312" w:hAnsi="仿宋_GB2312" w:eastAsia="仿宋_GB2312" w:cs="仿宋_GB2312"/>
          <w:b/>
          <w:sz w:val="32"/>
          <w:szCs w:val="32"/>
        </w:rPr>
        <w:instrText xml:space="preserve"> PAGEREF _Toc15780 </w:instrText>
      </w:r>
      <w:r>
        <w:rPr>
          <w:rFonts w:hint="eastAsia" w:ascii="仿宋_GB2312" w:hAnsi="仿宋_GB2312" w:eastAsia="仿宋_GB2312" w:cs="仿宋_GB2312"/>
          <w:b/>
          <w:sz w:val="32"/>
          <w:szCs w:val="32"/>
        </w:rPr>
        <w:fldChar w:fldCharType="separate"/>
      </w:r>
      <w:r>
        <w:rPr>
          <w:rFonts w:hint="eastAsia" w:ascii="仿宋_GB2312" w:hAnsi="仿宋_GB2312" w:eastAsia="仿宋_GB2312" w:cs="仿宋_GB2312"/>
          <w:b/>
          <w:sz w:val="32"/>
          <w:szCs w:val="32"/>
        </w:rPr>
        <w:t>11</w:t>
      </w:r>
      <w:r>
        <w:rPr>
          <w:rFonts w:hint="eastAsia" w:ascii="仿宋_GB2312" w:hAnsi="仿宋_GB2312" w:eastAsia="仿宋_GB2312" w:cs="仿宋_GB2312"/>
          <w:b/>
          <w:sz w:val="32"/>
          <w:szCs w:val="32"/>
        </w:rPr>
        <w:fldChar w:fldCharType="end"/>
      </w:r>
      <w:r>
        <w:rPr>
          <w:rFonts w:hint="eastAsia" w:ascii="仿宋_GB2312" w:hAnsi="仿宋_GB2312" w:eastAsia="仿宋_GB2312" w:cs="仿宋_GB2312"/>
          <w:b/>
          <w:sz w:val="32"/>
          <w:szCs w:val="32"/>
        </w:rPr>
        <w:fldChar w:fldCharType="end"/>
      </w:r>
    </w:p>
    <w:p>
      <w:pPr>
        <w:pStyle w:val="43"/>
        <w:tabs>
          <w:tab w:val="right" w:leader="dot" w:pos="9752"/>
        </w:tabs>
        <w:rPr>
          <w:rFonts w:ascii="仿宋_GB2312" w:hAnsi="仿宋_GB2312" w:eastAsia="仿宋_GB2312" w:cs="仿宋_GB2312"/>
          <w:b/>
          <w:sz w:val="32"/>
          <w:szCs w:val="32"/>
        </w:rPr>
      </w:pPr>
    </w:p>
    <w:p>
      <w:r>
        <w:rPr>
          <w:rFonts w:hint="eastAsia" w:ascii="仿宋_GB2312" w:hAnsi="仿宋_GB2312" w:cs="仿宋_GB2312"/>
          <w:b/>
          <w:sz w:val="32"/>
          <w:szCs w:val="32"/>
        </w:rPr>
        <w:fldChar w:fldCharType="end"/>
      </w:r>
    </w:p>
    <w:p>
      <w:pPr>
        <w:pStyle w:val="3"/>
        <w:spacing w:line="360" w:lineRule="auto"/>
        <w:rPr>
          <w:rFonts w:ascii="方正小标宋简体" w:hAnsi="方正小标宋简体" w:eastAsia="方正小标宋简体" w:cs="方正小标宋简体"/>
          <w:sz w:val="44"/>
        </w:rPr>
      </w:pPr>
      <w:r>
        <w:rPr>
          <w:rFonts w:hint="eastAsia" w:ascii="黑体" w:hAnsi="黑体" w:eastAsia="黑体" w:cs="黑体"/>
          <w:sz w:val="32"/>
          <w:szCs w:val="32"/>
        </w:rPr>
        <w:br w:type="page"/>
      </w:r>
      <w:bookmarkStart w:id="1" w:name="_Toc32131"/>
      <w:r>
        <w:rPr>
          <w:rFonts w:hint="eastAsia" w:ascii="黑体" w:hAnsi="黑体" w:eastAsia="黑体" w:cs="黑体"/>
          <w:sz w:val="32"/>
          <w:szCs w:val="32"/>
        </w:rPr>
        <w:t>一、竞争性磋商公告</w:t>
      </w:r>
      <w:bookmarkEnd w:id="0"/>
      <w:bookmarkEnd w:id="1"/>
    </w:p>
    <w:p>
      <w:pPr>
        <w:spacing w:line="360" w:lineRule="auto"/>
        <w:ind w:firstLine="640" w:firstLineChars="200"/>
        <w:rPr>
          <w:rFonts w:ascii="仿宋_GB2312" w:hAnsi="仿宋_GB2312" w:cs="仿宋_GB2312"/>
          <w:sz w:val="32"/>
          <w:szCs w:val="32"/>
        </w:rPr>
      </w:pPr>
      <w:bookmarkStart w:id="2" w:name="_Toc14609"/>
      <w:bookmarkStart w:id="3" w:name="_Toc2020_WPSOffice_Level2"/>
      <w:bookmarkStart w:id="4" w:name="_Toc13573"/>
      <w:r>
        <w:rPr>
          <w:rFonts w:hint="eastAsia" w:ascii="仿宋_GB2312" w:hAnsi="仿宋_GB2312" w:cs="仿宋_GB2312"/>
          <w:sz w:val="32"/>
          <w:szCs w:val="32"/>
        </w:rPr>
        <w:t>鄂尔多斯机场管理集团有限公司拟采用竞争性磋商的方式进行2019年财务报表审计服务项目，现邀请符合条件的供应商前来参与此次采购活动。</w:t>
      </w:r>
    </w:p>
    <w:p>
      <w:pPr>
        <w:pStyle w:val="39"/>
        <w:spacing w:line="360" w:lineRule="auto"/>
        <w:outlineLvl w:val="1"/>
        <w:rPr>
          <w:rFonts w:ascii="楷体" w:hAnsi="楷体" w:eastAsia="楷体" w:cs="楷体"/>
          <w:b/>
          <w:bCs/>
          <w:kern w:val="2"/>
          <w:sz w:val="32"/>
          <w:szCs w:val="32"/>
        </w:rPr>
      </w:pPr>
      <w:r>
        <w:rPr>
          <w:rFonts w:hint="eastAsia" w:ascii="楷体" w:hAnsi="楷体" w:eastAsia="楷体" w:cs="楷体"/>
          <w:b/>
          <w:bCs/>
          <w:kern w:val="2"/>
          <w:sz w:val="32"/>
          <w:szCs w:val="32"/>
        </w:rPr>
        <w:t>（一）、项目概况</w:t>
      </w:r>
      <w:bookmarkEnd w:id="2"/>
      <w:bookmarkEnd w:id="3"/>
      <w:bookmarkEnd w:id="4"/>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项目名称：2019年财务报表审计服务项目</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项目编号：CG/JTGS-19-008-N</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采购人：鄂尔多斯机场管理集团有限公司</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控制价：17万元</w:t>
      </w:r>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资金来源：企业自筹</w:t>
      </w:r>
      <w:bookmarkStart w:id="5" w:name="_Toc24706"/>
      <w:bookmarkStart w:id="6" w:name="_Toc1980_WPSOffice_Level2"/>
    </w:p>
    <w:p>
      <w:pPr>
        <w:numPr>
          <w:ilvl w:val="0"/>
          <w:numId w:val="1"/>
        </w:numPr>
        <w:spacing w:line="360" w:lineRule="auto"/>
        <w:ind w:left="0" w:firstLine="640" w:firstLineChars="200"/>
        <w:rPr>
          <w:rFonts w:ascii="仿宋_GB2312" w:hAnsi="仿宋_GB2312" w:cs="仿宋_GB2312"/>
          <w:sz w:val="32"/>
          <w:szCs w:val="32"/>
        </w:rPr>
      </w:pPr>
      <w:r>
        <w:rPr>
          <w:rFonts w:hint="eastAsia" w:ascii="仿宋_GB2312" w:hAnsi="仿宋_GB2312" w:cs="仿宋_GB2312"/>
          <w:sz w:val="32"/>
          <w:szCs w:val="32"/>
        </w:rPr>
        <w:t>服务内容：对集团公司、各级分子公司、参控股公司共计13家公司进行2019年财务报表审计。</w:t>
      </w:r>
    </w:p>
    <w:p>
      <w:pPr>
        <w:pStyle w:val="39"/>
        <w:spacing w:line="360" w:lineRule="auto"/>
        <w:outlineLvl w:val="1"/>
        <w:rPr>
          <w:rFonts w:ascii="楷体" w:hAnsi="楷体" w:eastAsia="楷体" w:cs="楷体"/>
          <w:b/>
          <w:bCs/>
          <w:kern w:val="2"/>
          <w:sz w:val="32"/>
          <w:szCs w:val="32"/>
        </w:rPr>
      </w:pPr>
      <w:bookmarkStart w:id="7" w:name="_Toc7313"/>
      <w:r>
        <w:rPr>
          <w:rFonts w:hint="eastAsia" w:ascii="楷体" w:hAnsi="楷体" w:eastAsia="楷体" w:cs="楷体"/>
          <w:b/>
          <w:bCs/>
          <w:kern w:val="2"/>
          <w:sz w:val="32"/>
          <w:szCs w:val="32"/>
        </w:rPr>
        <w:t>（二）、</w:t>
      </w:r>
      <w:bookmarkStart w:id="8" w:name="_Toc23124"/>
      <w:bookmarkStart w:id="9" w:name="_Toc12470_WPSOffice_Level2"/>
      <w:r>
        <w:rPr>
          <w:rFonts w:hint="eastAsia" w:ascii="楷体" w:hAnsi="楷体" w:eastAsia="楷体" w:cs="楷体"/>
          <w:b/>
          <w:bCs/>
          <w:kern w:val="2"/>
          <w:sz w:val="32"/>
          <w:szCs w:val="32"/>
        </w:rPr>
        <w:t>获取采购文件的时间、地点、方式</w:t>
      </w:r>
      <w:bookmarkEnd w:id="7"/>
      <w:bookmarkEnd w:id="8"/>
      <w:bookmarkEnd w:id="9"/>
    </w:p>
    <w:p>
      <w:pPr>
        <w:pStyle w:val="39"/>
        <w:spacing w:line="360" w:lineRule="auto"/>
        <w:ind w:firstLine="640" w:firstLineChars="200"/>
        <w:rPr>
          <w:rFonts w:ascii="仿宋_GB2312" w:hAnsi="仿宋_GB2312" w:cs="仿宋_GB2312"/>
          <w:sz w:val="32"/>
          <w:szCs w:val="32"/>
        </w:rPr>
      </w:pPr>
      <w:r>
        <w:rPr>
          <w:rFonts w:hint="eastAsia" w:ascii="仿宋_GB2312" w:hAnsi="仿宋_GB2312" w:eastAsia="仿宋_GB2312" w:cs="仿宋_GB2312"/>
          <w:kern w:val="2"/>
          <w:sz w:val="32"/>
          <w:szCs w:val="32"/>
        </w:rPr>
        <w:t>符合上述条件的供应商可于2019年12月</w:t>
      </w:r>
      <w:r>
        <w:rPr>
          <w:rFonts w:hint="default" w:ascii="仿宋_GB2312" w:hAnsi="仿宋_GB2312" w:eastAsia="仿宋_GB2312" w:cs="仿宋_GB2312"/>
          <w:kern w:val="2"/>
          <w:sz w:val="32"/>
          <w:szCs w:val="32"/>
          <w:lang w:val="en-US"/>
        </w:rPr>
        <w:t>20</w:t>
      </w:r>
      <w:r>
        <w:rPr>
          <w:rFonts w:hint="eastAsia" w:ascii="仿宋_GB2312" w:hAnsi="仿宋_GB2312" w:eastAsia="仿宋_GB2312" w:cs="仿宋_GB2312"/>
          <w:kern w:val="2"/>
          <w:sz w:val="32"/>
          <w:szCs w:val="32"/>
        </w:rPr>
        <w:t>日起登录鄂尔多斯机场管理集团有限公司网站页面（网址：</w:t>
      </w:r>
      <w:r>
        <w:fldChar w:fldCharType="begin"/>
      </w:r>
      <w:r>
        <w:instrText xml:space="preserve"> HYPERLINK "http://ordosairport.com/），点击" </w:instrText>
      </w:r>
      <w:r>
        <w:fldChar w:fldCharType="separate"/>
      </w:r>
      <w:r>
        <w:rPr>
          <w:rFonts w:hint="eastAsia" w:ascii="仿宋_GB2312" w:hAnsi="仿宋_GB2312" w:eastAsia="仿宋_GB2312" w:cs="仿宋_GB2312"/>
          <w:kern w:val="2"/>
          <w:sz w:val="32"/>
          <w:szCs w:val="32"/>
        </w:rPr>
        <w:t>http://ordosairport.com/），点击“公告”栏中的“招标信息”栏，查询采购信息，点击信息公告页面左下角“附件”即可浏览、下载采购文件</w:t>
      </w:r>
      <w:r>
        <w:rPr>
          <w:rFonts w:hint="eastAsia" w:ascii="仿宋_GB2312" w:hAnsi="仿宋_GB2312" w:eastAsia="仿宋_GB2312" w:cs="仿宋_GB2312"/>
          <w:kern w:val="2"/>
          <w:sz w:val="32"/>
          <w:szCs w:val="32"/>
        </w:rPr>
        <w:fldChar w:fldCharType="end"/>
      </w:r>
      <w:r>
        <w:rPr>
          <w:rFonts w:hint="eastAsia" w:ascii="仿宋_GB2312" w:hAnsi="仿宋_GB2312" w:eastAsia="仿宋_GB2312" w:cs="仿宋_GB2312"/>
          <w:kern w:val="2"/>
          <w:sz w:val="32"/>
          <w:szCs w:val="32"/>
        </w:rPr>
        <w:t>。</w:t>
      </w:r>
    </w:p>
    <w:p>
      <w:pPr>
        <w:pStyle w:val="39"/>
        <w:spacing w:line="360" w:lineRule="auto"/>
        <w:outlineLvl w:val="1"/>
        <w:rPr>
          <w:rFonts w:ascii="楷体" w:hAnsi="楷体" w:eastAsia="楷体" w:cs="楷体"/>
          <w:b/>
          <w:bCs/>
          <w:kern w:val="2"/>
          <w:sz w:val="32"/>
          <w:szCs w:val="32"/>
        </w:rPr>
      </w:pPr>
      <w:bookmarkStart w:id="10" w:name="_Toc4322"/>
      <w:r>
        <w:rPr>
          <w:rFonts w:hint="eastAsia" w:ascii="楷体" w:hAnsi="楷体" w:eastAsia="楷体" w:cs="楷体"/>
          <w:b/>
          <w:bCs/>
          <w:kern w:val="2"/>
          <w:sz w:val="32"/>
          <w:szCs w:val="32"/>
        </w:rPr>
        <w:t>（三）、响应文件接收截止（开标）时间及地点</w:t>
      </w:r>
      <w:bookmarkEnd w:id="5"/>
      <w:bookmarkEnd w:id="6"/>
      <w:bookmarkEnd w:id="10"/>
    </w:p>
    <w:p>
      <w:pPr>
        <w:pStyle w:val="39"/>
        <w:spacing w:line="360" w:lineRule="auto"/>
        <w:ind w:firstLine="640" w:firstLineChars="200"/>
        <w:rPr>
          <w:rFonts w:ascii="仿宋_GB2312" w:hAnsi="仿宋_GB2312" w:eastAsia="仿宋_GB2312" w:cs="仿宋_GB2312"/>
          <w:kern w:val="2"/>
          <w:sz w:val="32"/>
          <w:szCs w:val="32"/>
        </w:rPr>
      </w:pPr>
      <w:bookmarkStart w:id="11" w:name="_Toc11361_WPSOffice_Level2"/>
      <w:bookmarkStart w:id="12" w:name="_Toc28819"/>
      <w:r>
        <w:rPr>
          <w:rFonts w:hint="eastAsia" w:ascii="仿宋_GB2312" w:hAnsi="仿宋_GB2312" w:eastAsia="仿宋_GB2312" w:cs="仿宋_GB2312"/>
          <w:kern w:val="2"/>
          <w:sz w:val="32"/>
          <w:szCs w:val="32"/>
        </w:rPr>
        <w:t>点击信息公告页面正下方蓝色栏“我要报名”，填写准确的企业信息，报名截止时间：2019年12月</w:t>
      </w:r>
      <w:r>
        <w:rPr>
          <w:rFonts w:hint="default" w:ascii="仿宋_GB2312" w:hAnsi="仿宋_GB2312" w:eastAsia="仿宋_GB2312" w:cs="仿宋_GB2312"/>
          <w:kern w:val="2"/>
          <w:sz w:val="32"/>
          <w:szCs w:val="32"/>
          <w:lang w:val="en-US"/>
        </w:rPr>
        <w:t>2</w:t>
      </w:r>
      <w:r>
        <w:rPr>
          <w:rFonts w:hint="eastAsia" w:ascii="仿宋_GB2312" w:hAnsi="仿宋_GB2312" w:eastAsia="仿宋_GB2312" w:cs="仿宋_GB2312"/>
          <w:kern w:val="2"/>
          <w:sz w:val="32"/>
          <w:szCs w:val="32"/>
          <w:lang w:val="en-US" w:eastAsia="zh-CN"/>
        </w:rPr>
        <w:t>6</w:t>
      </w:r>
      <w:r>
        <w:rPr>
          <w:rFonts w:hint="eastAsia" w:ascii="仿宋_GB2312" w:hAnsi="仿宋_GB2312" w:eastAsia="仿宋_GB2312" w:cs="仿宋_GB2312"/>
          <w:kern w:val="2"/>
          <w:sz w:val="32"/>
          <w:szCs w:val="32"/>
        </w:rPr>
        <w:t>日中午12:00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递交响应文件截止（评标）时间：2019年12月</w:t>
      </w:r>
      <w:bookmarkStart w:id="98" w:name="_GoBack"/>
      <w:bookmarkEnd w:id="98"/>
      <w:r>
        <w:rPr>
          <w:rFonts w:hint="eastAsia" w:ascii="仿宋_GB2312" w:hAnsi="仿宋_GB2312" w:eastAsia="仿宋_GB2312" w:cs="仿宋_GB2312"/>
          <w:kern w:val="2"/>
          <w:sz w:val="32"/>
          <w:szCs w:val="32"/>
          <w:lang w:val="en-US" w:eastAsia="zh-CN"/>
        </w:rPr>
        <w:t>27</w:t>
      </w:r>
      <w:r>
        <w:rPr>
          <w:rFonts w:hint="eastAsia" w:ascii="仿宋_GB2312" w:hAnsi="仿宋_GB2312" w:eastAsia="仿宋_GB2312" w:cs="仿宋_GB2312"/>
          <w:kern w:val="2"/>
          <w:sz w:val="32"/>
          <w:szCs w:val="32"/>
        </w:rPr>
        <w:t>日</w:t>
      </w:r>
      <w:r>
        <w:rPr>
          <w:rFonts w:hint="eastAsia" w:ascii="仿宋_GB2312" w:hAnsi="仿宋_GB2312" w:eastAsia="仿宋_GB2312" w:cs="仿宋_GB2312"/>
          <w:kern w:val="2"/>
          <w:sz w:val="32"/>
          <w:szCs w:val="32"/>
          <w:lang w:eastAsia="zh-CN"/>
        </w:rPr>
        <w:t>上午</w:t>
      </w:r>
      <w:r>
        <w:rPr>
          <w:rFonts w:hint="eastAsia" w:ascii="仿宋_GB2312" w:hAnsi="仿宋_GB2312" w:eastAsia="仿宋_GB2312" w:cs="仿宋_GB2312"/>
          <w:kern w:val="2"/>
          <w:sz w:val="32"/>
          <w:szCs w:val="32"/>
          <w:lang w:val="en-US" w:eastAsia="zh-CN"/>
        </w:rPr>
        <w:t>9</w:t>
      </w:r>
      <w:r>
        <w:rPr>
          <w:rFonts w:hint="eastAsia" w:ascii="仿宋_GB2312" w:hAnsi="仿宋_GB2312" w:eastAsia="仿宋_GB2312" w:cs="仿宋_GB2312"/>
          <w:kern w:val="2"/>
          <w:sz w:val="32"/>
          <w:szCs w:val="32"/>
        </w:rPr>
        <w:t>:30</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响应文件接收及评标地点：鄂尔多斯飞机场综合办公楼2楼208</w:t>
      </w:r>
    </w:p>
    <w:p>
      <w:pPr>
        <w:pStyle w:val="39"/>
        <w:spacing w:line="360" w:lineRule="auto"/>
        <w:outlineLvl w:val="1"/>
        <w:rPr>
          <w:rFonts w:ascii="楷体" w:hAnsi="楷体" w:eastAsia="楷体" w:cs="楷体"/>
          <w:b/>
          <w:bCs/>
          <w:kern w:val="2"/>
          <w:sz w:val="32"/>
          <w:szCs w:val="32"/>
        </w:rPr>
      </w:pPr>
      <w:bookmarkStart w:id="13" w:name="_Toc29567"/>
      <w:r>
        <w:rPr>
          <w:rFonts w:hint="eastAsia" w:ascii="楷体" w:hAnsi="楷体" w:eastAsia="楷体" w:cs="楷体"/>
          <w:b/>
          <w:bCs/>
          <w:kern w:val="2"/>
          <w:sz w:val="32"/>
          <w:szCs w:val="32"/>
        </w:rPr>
        <w:t>（四）、联系方式</w:t>
      </w:r>
      <w:bookmarkEnd w:id="11"/>
      <w:bookmarkEnd w:id="12"/>
      <w:bookmarkEnd w:id="13"/>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 xml:space="preserve">联系人： 霍女士 </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联系电话：0477-3855901</w:t>
      </w:r>
    </w:p>
    <w:p>
      <w:pPr>
        <w:pStyle w:val="39"/>
        <w:spacing w:line="360" w:lineRule="auto"/>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邮    箱：597809252@qq.com</w:t>
      </w:r>
    </w:p>
    <w:p>
      <w:pPr>
        <w:pStyle w:val="3"/>
        <w:spacing w:line="240" w:lineRule="auto"/>
        <w:rPr>
          <w:rFonts w:ascii="黑体" w:hAnsi="黑体" w:eastAsia="黑体" w:cs="黑体"/>
          <w:sz w:val="32"/>
          <w:szCs w:val="32"/>
        </w:rPr>
      </w:pPr>
      <w:r>
        <w:rPr>
          <w:rFonts w:hint="eastAsia" w:ascii="仿宋_GB2312" w:hAnsi="仿宋_GB2312" w:cs="仿宋_GB2312"/>
          <w:sz w:val="28"/>
          <w:szCs w:val="28"/>
        </w:rPr>
        <w:br w:type="page"/>
      </w:r>
      <w:bookmarkStart w:id="14" w:name="_Toc2984"/>
      <w:bookmarkStart w:id="15" w:name="_Toc12567_WPSOffice_Level1"/>
      <w:bookmarkStart w:id="16" w:name="_Toc32417"/>
      <w:r>
        <w:rPr>
          <w:rFonts w:hint="eastAsia" w:ascii="黑体" w:hAnsi="黑体" w:eastAsia="黑体" w:cs="黑体"/>
          <w:sz w:val="32"/>
          <w:szCs w:val="32"/>
        </w:rPr>
        <w:t>二、采购人需求</w:t>
      </w:r>
      <w:bookmarkEnd w:id="14"/>
      <w:bookmarkEnd w:id="15"/>
    </w:p>
    <w:p>
      <w:pPr>
        <w:spacing w:line="360" w:lineRule="auto"/>
        <w:outlineLvl w:val="1"/>
        <w:rPr>
          <w:rFonts w:ascii="黑体" w:hAnsi="黑体" w:eastAsia="黑体" w:cs="黑体"/>
          <w:b/>
          <w:bCs/>
          <w:sz w:val="32"/>
          <w:szCs w:val="32"/>
        </w:rPr>
      </w:pPr>
      <w:bookmarkStart w:id="17" w:name="_Toc32408"/>
      <w:bookmarkStart w:id="18" w:name="_Toc28020_WPSOffice_Level2"/>
      <w:bookmarkStart w:id="19" w:name="_Toc18205"/>
      <w:r>
        <w:rPr>
          <w:rFonts w:hint="eastAsia" w:ascii="楷体" w:hAnsi="楷体" w:eastAsia="楷体" w:cs="楷体"/>
          <w:b/>
          <w:bCs/>
          <w:sz w:val="32"/>
          <w:szCs w:val="32"/>
        </w:rPr>
        <w:t>（一）、项目基本情况</w:t>
      </w:r>
      <w:bookmarkEnd w:id="17"/>
      <w:bookmarkEnd w:id="18"/>
      <w:bookmarkEnd w:id="19"/>
      <w:r>
        <w:rPr>
          <w:rFonts w:hint="eastAsia" w:ascii="黑体" w:hAnsi="黑体" w:eastAsia="黑体" w:cs="黑体"/>
          <w:b/>
          <w:bCs/>
          <w:sz w:val="32"/>
          <w:szCs w:val="32"/>
        </w:rPr>
        <w:t xml:space="preserve"> </w:t>
      </w:r>
    </w:p>
    <w:p>
      <w:pPr>
        <w:pStyle w:val="7"/>
        <w:numPr>
          <w:ilvl w:val="0"/>
          <w:numId w:val="2"/>
        </w:numPr>
        <w:spacing w:line="360" w:lineRule="auto"/>
        <w:ind w:left="0" w:firstLine="420"/>
        <w:rPr>
          <w:rFonts w:ascii="仿宋_GB2312"/>
          <w:sz w:val="32"/>
          <w:szCs w:val="32"/>
        </w:rPr>
      </w:pPr>
      <w:r>
        <w:rPr>
          <w:rFonts w:hint="eastAsia" w:ascii="仿宋_GB2312"/>
          <w:sz w:val="32"/>
          <w:szCs w:val="32"/>
        </w:rPr>
        <w:t>项目基本情况：不可转包、分包。</w:t>
      </w:r>
    </w:p>
    <w:p>
      <w:pPr>
        <w:pStyle w:val="7"/>
        <w:numPr>
          <w:ilvl w:val="0"/>
          <w:numId w:val="2"/>
        </w:numPr>
        <w:spacing w:line="360" w:lineRule="auto"/>
        <w:ind w:left="0" w:firstLine="420"/>
        <w:rPr>
          <w:rFonts w:ascii="仿宋_GB2312"/>
          <w:sz w:val="32"/>
          <w:szCs w:val="32"/>
        </w:rPr>
      </w:pPr>
      <w:r>
        <w:rPr>
          <w:rFonts w:hint="eastAsia" w:ascii="仿宋_GB2312"/>
          <w:sz w:val="32"/>
          <w:szCs w:val="32"/>
        </w:rPr>
        <w:t>报表审计时间范围：2019年度。</w:t>
      </w:r>
    </w:p>
    <w:p>
      <w:pPr>
        <w:pStyle w:val="7"/>
        <w:numPr>
          <w:ilvl w:val="0"/>
          <w:numId w:val="2"/>
        </w:numPr>
        <w:spacing w:line="360" w:lineRule="auto"/>
        <w:ind w:left="0" w:firstLine="420"/>
        <w:rPr>
          <w:rFonts w:ascii="仿宋_GB2312"/>
          <w:sz w:val="32"/>
          <w:szCs w:val="32"/>
        </w:rPr>
      </w:pPr>
      <w:r>
        <w:rPr>
          <w:rFonts w:hint="eastAsia" w:ascii="仿宋_GB2312"/>
          <w:sz w:val="32"/>
          <w:szCs w:val="32"/>
        </w:rPr>
        <w:t>交货期：2020年3月10日前出具高质量的审计报告。</w:t>
      </w:r>
    </w:p>
    <w:p>
      <w:pPr>
        <w:pStyle w:val="7"/>
        <w:numPr>
          <w:ilvl w:val="0"/>
          <w:numId w:val="2"/>
        </w:numPr>
        <w:spacing w:line="360" w:lineRule="auto"/>
        <w:ind w:left="0" w:firstLine="420"/>
        <w:rPr>
          <w:rStyle w:val="30"/>
          <w:rFonts w:ascii="仿宋" w:hAnsi="仿宋" w:eastAsia="仿宋"/>
          <w:sz w:val="32"/>
          <w:szCs w:val="32"/>
        </w:rPr>
      </w:pPr>
      <w:r>
        <w:rPr>
          <w:rFonts w:hint="eastAsia" w:ascii="仿宋_GB2312"/>
          <w:sz w:val="32"/>
          <w:szCs w:val="32"/>
        </w:rPr>
        <w:t>预算金额：17万元整（含税），报价包含差旅、食宿、人工等所有成本，甲方后期不再支付任何费用。</w:t>
      </w:r>
    </w:p>
    <w:p>
      <w:pPr>
        <w:pStyle w:val="7"/>
        <w:numPr>
          <w:ilvl w:val="0"/>
          <w:numId w:val="2"/>
        </w:numPr>
        <w:spacing w:line="360" w:lineRule="auto"/>
        <w:ind w:left="0" w:firstLine="420"/>
        <w:rPr>
          <w:rFonts w:ascii="楷体" w:hAnsi="楷体" w:eastAsia="楷体" w:cs="楷体"/>
          <w:b/>
          <w:bCs/>
          <w:kern w:val="2"/>
          <w:sz w:val="32"/>
          <w:szCs w:val="32"/>
        </w:rPr>
      </w:pPr>
      <w:r>
        <w:rPr>
          <w:rFonts w:hint="eastAsia" w:ascii="仿宋_GB2312"/>
          <w:sz w:val="32"/>
          <w:szCs w:val="32"/>
        </w:rPr>
        <w:t>付款方式：本项目无预付款，待审计报告验收合格后15日内一次性付清。中标供应商同时须提供相应金额的增值税专用发票进行款项支付。</w:t>
      </w:r>
    </w:p>
    <w:p>
      <w:pPr>
        <w:numPr>
          <w:ilvl w:val="0"/>
          <w:numId w:val="3"/>
        </w:numPr>
        <w:spacing w:line="360" w:lineRule="auto"/>
        <w:outlineLvl w:val="1"/>
        <w:rPr>
          <w:rFonts w:ascii="楷体" w:hAnsi="楷体" w:eastAsia="楷体" w:cs="楷体"/>
          <w:b/>
          <w:bCs/>
          <w:sz w:val="32"/>
          <w:szCs w:val="32"/>
        </w:rPr>
      </w:pPr>
      <w:bookmarkStart w:id="20" w:name="_Toc32032"/>
      <w:r>
        <w:rPr>
          <w:rFonts w:hint="eastAsia" w:ascii="楷体" w:hAnsi="楷体" w:eastAsia="楷体" w:cs="楷体"/>
          <w:b/>
          <w:bCs/>
          <w:sz w:val="32"/>
          <w:szCs w:val="32"/>
        </w:rPr>
        <w:t>、采购内容及要求</w:t>
      </w:r>
      <w:bookmarkEnd w:id="20"/>
    </w:p>
    <w:p>
      <w:pPr>
        <w:pStyle w:val="7"/>
        <w:numPr>
          <w:ilvl w:val="0"/>
          <w:numId w:val="4"/>
        </w:numPr>
        <w:spacing w:line="360" w:lineRule="auto"/>
        <w:rPr>
          <w:rFonts w:ascii="仿宋_GB2312"/>
          <w:sz w:val="32"/>
          <w:szCs w:val="32"/>
        </w:rPr>
      </w:pPr>
      <w:r>
        <w:rPr>
          <w:rFonts w:hint="eastAsia" w:ascii="仿宋_GB2312"/>
          <w:sz w:val="32"/>
          <w:szCs w:val="32"/>
        </w:rPr>
        <w:t>出具2019年度13家公司及集团合并报表审计报告,各公司审计报告一式四份，合并报表为6份。</w:t>
      </w:r>
    </w:p>
    <w:p>
      <w:pPr>
        <w:pStyle w:val="7"/>
        <w:numPr>
          <w:ilvl w:val="0"/>
          <w:numId w:val="4"/>
        </w:numPr>
        <w:spacing w:line="360" w:lineRule="auto"/>
        <w:rPr>
          <w:rFonts w:ascii="仿宋_GB2312"/>
          <w:sz w:val="32"/>
          <w:szCs w:val="32"/>
        </w:rPr>
      </w:pPr>
      <w:r>
        <w:rPr>
          <w:rFonts w:hint="eastAsia" w:ascii="仿宋_GB2312"/>
          <w:sz w:val="32"/>
          <w:szCs w:val="32"/>
        </w:rPr>
        <w:t>能够对机场集团内整体的个人所得税、企业所得税、增值税、土地使用税、房产税等的计算缴纳提出合理化建议三到五项。</w:t>
      </w:r>
    </w:p>
    <w:p>
      <w:pPr>
        <w:pStyle w:val="7"/>
        <w:numPr>
          <w:ilvl w:val="0"/>
          <w:numId w:val="4"/>
        </w:numPr>
        <w:spacing w:line="360" w:lineRule="auto"/>
        <w:rPr>
          <w:rFonts w:ascii="仿宋_GB2312"/>
          <w:sz w:val="32"/>
          <w:szCs w:val="32"/>
        </w:rPr>
      </w:pPr>
      <w:r>
        <w:rPr>
          <w:rFonts w:hint="eastAsia" w:ascii="仿宋_GB2312"/>
          <w:sz w:val="32"/>
          <w:szCs w:val="32"/>
        </w:rPr>
        <w:t>对机场集团公司现有涉税情况，提出三到五项改进或优化建议。</w:t>
      </w:r>
    </w:p>
    <w:p>
      <w:pPr>
        <w:pStyle w:val="7"/>
        <w:numPr>
          <w:ilvl w:val="0"/>
          <w:numId w:val="4"/>
        </w:numPr>
        <w:spacing w:line="360" w:lineRule="auto"/>
        <w:rPr>
          <w:rFonts w:ascii="仿宋_GB2312"/>
          <w:sz w:val="32"/>
          <w:szCs w:val="32"/>
        </w:rPr>
      </w:pPr>
      <w:r>
        <w:rPr>
          <w:rFonts w:hint="eastAsia" w:ascii="仿宋_GB2312"/>
          <w:sz w:val="32"/>
          <w:szCs w:val="32"/>
        </w:rPr>
        <w:t>年度财税健康体检，发现潜在的财税问题及风险，并出具财税健康体检报告汇报管理层（包括但不限于国有资本保值增值率建议、资产折旧方法、PPP项目、政府补助等），能够对集团管控、集团税收筹划发表客观意见，能够推荐学习最新的财经法规、政策及解读应用。</w:t>
      </w:r>
    </w:p>
    <w:p>
      <w:pPr>
        <w:pStyle w:val="7"/>
        <w:numPr>
          <w:ilvl w:val="0"/>
          <w:numId w:val="4"/>
        </w:numPr>
        <w:spacing w:line="360" w:lineRule="auto"/>
        <w:rPr>
          <w:rFonts w:ascii="仿宋_GB2312"/>
          <w:sz w:val="32"/>
          <w:szCs w:val="32"/>
        </w:rPr>
      </w:pPr>
      <w:r>
        <w:rPr>
          <w:rFonts w:hint="eastAsia" w:ascii="仿宋_GB2312"/>
          <w:sz w:val="32"/>
          <w:szCs w:val="32"/>
        </w:rPr>
        <w:t>对内部控制制度和程序是否健全、合理，是否有效执行发表意见。</w:t>
      </w:r>
    </w:p>
    <w:p>
      <w:pPr>
        <w:pStyle w:val="7"/>
        <w:numPr>
          <w:ilvl w:val="0"/>
          <w:numId w:val="4"/>
        </w:numPr>
        <w:spacing w:line="360" w:lineRule="auto"/>
        <w:rPr>
          <w:rFonts w:ascii="仿宋_GB2312"/>
          <w:sz w:val="32"/>
          <w:szCs w:val="32"/>
        </w:rPr>
      </w:pPr>
      <w:r>
        <w:rPr>
          <w:rFonts w:hint="eastAsia" w:ascii="仿宋_GB2312"/>
          <w:sz w:val="32"/>
          <w:szCs w:val="32"/>
        </w:rPr>
        <w:t xml:space="preserve">对经济活动的决策和程序是否符合国家规定，手续是否完备合法发表意见。 </w:t>
      </w:r>
    </w:p>
    <w:p>
      <w:pPr>
        <w:pStyle w:val="7"/>
        <w:numPr>
          <w:ilvl w:val="0"/>
          <w:numId w:val="4"/>
        </w:numPr>
        <w:spacing w:line="360" w:lineRule="auto"/>
        <w:rPr>
          <w:rFonts w:ascii="仿宋_GB2312"/>
          <w:sz w:val="32"/>
          <w:szCs w:val="32"/>
        </w:rPr>
      </w:pPr>
      <w:r>
        <w:rPr>
          <w:rFonts w:hint="eastAsia" w:ascii="仿宋_GB2312"/>
          <w:sz w:val="32"/>
          <w:szCs w:val="32"/>
        </w:rPr>
        <w:t>对支出是否合法、真实，是否符合国家财经制度有关管理规定发表意见。</w:t>
      </w:r>
    </w:p>
    <w:p>
      <w:pPr>
        <w:pStyle w:val="7"/>
        <w:numPr>
          <w:ilvl w:val="0"/>
          <w:numId w:val="4"/>
        </w:numPr>
        <w:spacing w:line="360" w:lineRule="auto"/>
        <w:rPr>
          <w:rFonts w:ascii="仿宋_GB2312"/>
          <w:sz w:val="32"/>
          <w:szCs w:val="32"/>
        </w:rPr>
      </w:pPr>
      <w:r>
        <w:rPr>
          <w:rFonts w:hint="eastAsia" w:ascii="仿宋_GB2312"/>
          <w:sz w:val="32"/>
          <w:szCs w:val="32"/>
        </w:rPr>
        <w:t>自合同签订起提供一年的财税咨询服务。</w:t>
      </w:r>
    </w:p>
    <w:p>
      <w:pPr>
        <w:pStyle w:val="7"/>
        <w:numPr>
          <w:ilvl w:val="0"/>
          <w:numId w:val="4"/>
        </w:numPr>
        <w:spacing w:line="360" w:lineRule="auto"/>
        <w:rPr>
          <w:rFonts w:ascii="仿宋_GB2312"/>
          <w:sz w:val="32"/>
          <w:szCs w:val="32"/>
        </w:rPr>
      </w:pPr>
      <w:r>
        <w:rPr>
          <w:rFonts w:hint="eastAsia" w:ascii="仿宋_GB2312"/>
          <w:sz w:val="32"/>
          <w:szCs w:val="32"/>
        </w:rPr>
        <w:t>其他需要发表审计意见或建议的事项。</w:t>
      </w:r>
    </w:p>
    <w:p>
      <w:pPr>
        <w:pStyle w:val="13"/>
        <w:numPr>
          <w:ilvl w:val="0"/>
          <w:numId w:val="4"/>
        </w:numPr>
        <w:wordWrap w:val="0"/>
        <w:spacing w:before="0" w:beforeAutospacing="0" w:after="0" w:afterAutospacing="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必须有2名以上的注册会计师或税务师（工作经验6年以上）现场实施审计。</w:t>
      </w:r>
    </w:p>
    <w:p>
      <w:pPr>
        <w:numPr>
          <w:ilvl w:val="0"/>
          <w:numId w:val="3"/>
        </w:numPr>
        <w:spacing w:line="360" w:lineRule="auto"/>
        <w:outlineLvl w:val="1"/>
        <w:rPr>
          <w:rFonts w:ascii="楷体" w:hAnsi="楷体" w:eastAsia="楷体" w:cs="楷体"/>
          <w:b/>
          <w:bCs/>
          <w:sz w:val="32"/>
          <w:szCs w:val="32"/>
        </w:rPr>
      </w:pPr>
      <w:bookmarkStart w:id="21" w:name="_Toc1377"/>
      <w:r>
        <w:rPr>
          <w:rFonts w:hint="eastAsia" w:ascii="楷体" w:hAnsi="楷体" w:eastAsia="楷体" w:cs="楷体"/>
          <w:b/>
          <w:bCs/>
          <w:sz w:val="32"/>
          <w:szCs w:val="32"/>
        </w:rPr>
        <w:t>、项目说明</w:t>
      </w:r>
      <w:bookmarkEnd w:id="21"/>
    </w:p>
    <w:p>
      <w:pPr>
        <w:pStyle w:val="48"/>
        <w:spacing w:line="360" w:lineRule="auto"/>
        <w:ind w:firstLine="822" w:firstLineChars="257"/>
        <w:jc w:val="left"/>
        <w:rPr>
          <w:rFonts w:ascii="仿宋_GB2312" w:hAnsi="仿宋_GB2312" w:cs="仿宋_GB2312"/>
          <w:b w:val="0"/>
          <w:bCs w:val="0"/>
          <w:kern w:val="2"/>
          <w:sz w:val="28"/>
          <w:szCs w:val="28"/>
        </w:rPr>
      </w:pPr>
      <w:r>
        <w:rPr>
          <w:rFonts w:hint="eastAsia" w:ascii="仿宋_GB2312" w:hAnsi="Courier New"/>
          <w:b w:val="0"/>
          <w:bCs w:val="0"/>
          <w:kern w:val="0"/>
          <w:sz w:val="32"/>
          <w:szCs w:val="32"/>
        </w:rPr>
        <w:t>需审计公司资产情况：</w:t>
      </w:r>
    </w:p>
    <w:tbl>
      <w:tblPr>
        <w:tblStyle w:val="14"/>
        <w:tblW w:w="4240" w:type="dxa"/>
        <w:jc w:val="center"/>
        <w:tblLayout w:type="autofit"/>
        <w:tblCellMar>
          <w:top w:w="0" w:type="dxa"/>
          <w:left w:w="108" w:type="dxa"/>
          <w:bottom w:w="0" w:type="dxa"/>
          <w:right w:w="108" w:type="dxa"/>
        </w:tblCellMar>
      </w:tblPr>
      <w:tblGrid>
        <w:gridCol w:w="1380"/>
        <w:gridCol w:w="2860"/>
      </w:tblGrid>
      <w:tr>
        <w:tblPrEx>
          <w:tblCellMar>
            <w:top w:w="0" w:type="dxa"/>
            <w:left w:w="108" w:type="dxa"/>
            <w:bottom w:w="0" w:type="dxa"/>
            <w:right w:w="108" w:type="dxa"/>
          </w:tblCellMar>
        </w:tblPrEx>
        <w:trPr>
          <w:trHeight w:val="320" w:hRule="atLeast"/>
          <w:jc w:val="center"/>
        </w:trPr>
        <w:tc>
          <w:tcPr>
            <w:tcW w:w="1380"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w:t>
            </w:r>
          </w:p>
        </w:tc>
        <w:tc>
          <w:tcPr>
            <w:tcW w:w="2860" w:type="dxa"/>
            <w:tcBorders>
              <w:top w:val="single" w:color="auto" w:sz="4" w:space="0"/>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资产总额（万元）</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企业1</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52505</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企业2</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104</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企业3</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21</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企业4</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327864</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企业5</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1214</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企业6</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6649</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企业7</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4495</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企业8</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427</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企业9</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401</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企业10</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799</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企业11</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154</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企业12</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　1493</w:t>
            </w:r>
          </w:p>
        </w:tc>
      </w:tr>
      <w:tr>
        <w:tblPrEx>
          <w:tblCellMar>
            <w:top w:w="0" w:type="dxa"/>
            <w:left w:w="108" w:type="dxa"/>
            <w:bottom w:w="0" w:type="dxa"/>
            <w:right w:w="108" w:type="dxa"/>
          </w:tblCellMar>
        </w:tblPrEx>
        <w:trPr>
          <w:trHeight w:val="320" w:hRule="atLeast"/>
          <w:jc w:val="center"/>
        </w:trPr>
        <w:tc>
          <w:tcPr>
            <w:tcW w:w="1380" w:type="dxa"/>
            <w:tcBorders>
              <w:top w:val="nil"/>
              <w:left w:val="single" w:color="auto" w:sz="4" w:space="0"/>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企业13</w:t>
            </w:r>
          </w:p>
        </w:tc>
        <w:tc>
          <w:tcPr>
            <w:tcW w:w="2860" w:type="dxa"/>
            <w:tcBorders>
              <w:top w:val="nil"/>
              <w:left w:val="nil"/>
              <w:bottom w:val="single" w:color="auto" w:sz="4" w:space="0"/>
              <w:right w:val="single" w:color="auto" w:sz="4" w:space="0"/>
            </w:tcBorders>
            <w:noWrap/>
            <w:vAlign w:val="center"/>
          </w:tcPr>
          <w:p>
            <w:pPr>
              <w:jc w:val="center"/>
              <w:rPr>
                <w:rFonts w:ascii="宋体" w:hAnsi="宋体" w:eastAsia="宋体" w:cs="宋体"/>
                <w:kern w:val="0"/>
                <w:szCs w:val="24"/>
              </w:rPr>
            </w:pPr>
            <w:r>
              <w:rPr>
                <w:rFonts w:hint="eastAsia" w:ascii="宋体" w:hAnsi="宋体" w:eastAsia="宋体" w:cs="宋体"/>
                <w:kern w:val="0"/>
                <w:szCs w:val="24"/>
              </w:rPr>
              <w:t>690　</w:t>
            </w:r>
          </w:p>
        </w:tc>
      </w:tr>
    </w:tbl>
    <w:p>
      <w:pPr>
        <w:rPr>
          <w:rFonts w:ascii="黑体" w:hAnsi="黑体" w:eastAsia="黑体" w:cs="黑体"/>
          <w:b/>
          <w:bCs/>
          <w:kern w:val="44"/>
          <w:sz w:val="32"/>
          <w:szCs w:val="32"/>
        </w:rPr>
      </w:pPr>
      <w:bookmarkStart w:id="22" w:name="_Toc29916_WPSOffice_Level1"/>
      <w:bookmarkStart w:id="23" w:name="_Toc880"/>
      <w:r>
        <w:rPr>
          <w:rFonts w:hint="eastAsia" w:ascii="黑体" w:hAnsi="黑体" w:eastAsia="黑体" w:cs="黑体"/>
          <w:b/>
          <w:bCs/>
          <w:kern w:val="44"/>
          <w:sz w:val="32"/>
          <w:szCs w:val="32"/>
        </w:rPr>
        <w:br w:type="page"/>
      </w:r>
    </w:p>
    <w:p>
      <w:pPr>
        <w:pStyle w:val="39"/>
        <w:spacing w:line="360" w:lineRule="auto"/>
        <w:ind w:firstLine="161" w:firstLineChars="50"/>
        <w:jc w:val="center"/>
        <w:rPr>
          <w:rFonts w:ascii="仿宋_GB2312" w:eastAsia="仿宋_GB2312"/>
          <w:sz w:val="32"/>
          <w:szCs w:val="32"/>
        </w:rPr>
      </w:pPr>
      <w:r>
        <w:rPr>
          <w:rFonts w:hint="eastAsia" w:ascii="黑体" w:hAnsi="黑体" w:eastAsia="黑体" w:cs="黑体"/>
          <w:b/>
          <w:bCs/>
          <w:kern w:val="44"/>
          <w:sz w:val="32"/>
          <w:szCs w:val="32"/>
        </w:rPr>
        <w:t>三、供应商须知</w:t>
      </w:r>
      <w:bookmarkEnd w:id="16"/>
      <w:bookmarkEnd w:id="22"/>
      <w:bookmarkEnd w:id="23"/>
    </w:p>
    <w:p>
      <w:pPr>
        <w:spacing w:line="360" w:lineRule="auto"/>
        <w:outlineLvl w:val="1"/>
        <w:rPr>
          <w:rFonts w:ascii="楷体" w:hAnsi="楷体" w:eastAsia="楷体" w:cs="楷体"/>
          <w:b/>
          <w:bCs/>
          <w:sz w:val="32"/>
          <w:szCs w:val="32"/>
        </w:rPr>
      </w:pPr>
      <w:bookmarkStart w:id="24" w:name="_Toc17338"/>
      <w:bookmarkStart w:id="25" w:name="_Toc388874218"/>
      <w:bookmarkStart w:id="26" w:name="_Toc25961"/>
      <w:bookmarkStart w:id="27" w:name="_Toc19620_WPSOffice_Level2"/>
      <w:r>
        <w:rPr>
          <w:rFonts w:hint="eastAsia" w:ascii="楷体" w:hAnsi="楷体" w:eastAsia="楷体" w:cs="楷体"/>
          <w:b/>
          <w:bCs/>
          <w:sz w:val="32"/>
          <w:szCs w:val="32"/>
        </w:rPr>
        <w:t>（一）、供应商资格要求</w:t>
      </w:r>
      <w:bookmarkEnd w:id="24"/>
      <w:bookmarkEnd w:id="25"/>
      <w:bookmarkEnd w:id="26"/>
      <w:bookmarkEnd w:id="27"/>
    </w:p>
    <w:p>
      <w:pPr>
        <w:spacing w:line="360" w:lineRule="auto"/>
        <w:outlineLvl w:val="1"/>
        <w:rPr>
          <w:rFonts w:ascii="仿宋_GB2312" w:hAnsi="仿宋_GB2312" w:cs="仿宋_GB2312"/>
          <w:sz w:val="32"/>
          <w:szCs w:val="32"/>
        </w:rPr>
      </w:pPr>
      <w:r>
        <w:rPr>
          <w:rFonts w:hint="eastAsia" w:ascii="仿宋_GB2312" w:hAnsi="仿宋_GB2312" w:cs="仿宋_GB2312"/>
          <w:sz w:val="32"/>
          <w:szCs w:val="32"/>
        </w:rPr>
        <w:t>供应商应符合《中华人民共和国政府采购法》第二十二条规定的条</w:t>
      </w:r>
      <w:bookmarkStart w:id="28" w:name="_Toc5801"/>
      <w:bookmarkStart w:id="29" w:name="_Toc23996_WPSOffice_Level2"/>
      <w:bookmarkStart w:id="30" w:name="_Toc23338"/>
      <w:bookmarkStart w:id="31" w:name="_Toc388874219"/>
    </w:p>
    <w:p>
      <w:pPr>
        <w:spacing w:line="360" w:lineRule="auto"/>
        <w:outlineLvl w:val="1"/>
        <w:rPr>
          <w:rFonts w:ascii="楷体" w:hAnsi="楷体" w:eastAsia="楷体" w:cs="楷体"/>
          <w:b/>
          <w:bCs/>
          <w:sz w:val="32"/>
          <w:szCs w:val="32"/>
        </w:rPr>
      </w:pPr>
      <w:r>
        <w:rPr>
          <w:rFonts w:hint="eastAsia" w:ascii="楷体" w:hAnsi="楷体" w:eastAsia="楷体" w:cs="楷体"/>
          <w:b/>
          <w:bCs/>
          <w:sz w:val="32"/>
          <w:szCs w:val="32"/>
        </w:rPr>
        <w:t>（二）、响应文件应包括</w:t>
      </w:r>
      <w:bookmarkEnd w:id="28"/>
      <w:bookmarkEnd w:id="29"/>
      <w:bookmarkEnd w:id="30"/>
      <w:bookmarkEnd w:id="31"/>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32"/>
          <w:szCs w:val="32"/>
        </w:rPr>
        <w:t>1、提供企业营业执照（副本）、组织机构代码证、税务登记证（副本），三证合一则为一个</w:t>
      </w:r>
      <w:r>
        <w:rPr>
          <w:rFonts w:hint="eastAsia" w:ascii="仿宋_GB2312" w:hAnsi="仿宋_GB2312" w:cs="仿宋_GB2312"/>
          <w:sz w:val="32"/>
          <w:szCs w:val="32"/>
        </w:rPr>
        <w:t>。</w:t>
      </w:r>
    </w:p>
    <w:p>
      <w:pPr>
        <w:pStyle w:val="39"/>
        <w:spacing w:line="360" w:lineRule="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2、产品最终报价表</w:t>
      </w:r>
      <w:r>
        <w:rPr>
          <w:rFonts w:hint="eastAsia" w:ascii="仿宋_GB2312" w:hAnsi="仿宋_GB2312" w:cs="仿宋_GB2312"/>
          <w:sz w:val="32"/>
          <w:szCs w:val="32"/>
        </w:rPr>
        <w:t>，</w:t>
      </w:r>
      <w:r>
        <w:rPr>
          <w:rFonts w:hint="eastAsia" w:ascii="仿宋_GB2312" w:hAnsi="仿宋_GB2312" w:eastAsia="仿宋_GB2312" w:cs="仿宋_GB2312"/>
          <w:sz w:val="32"/>
          <w:szCs w:val="32"/>
        </w:rPr>
        <w:t>报价货物详细技术参数</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3</w:t>
      </w:r>
      <w:r>
        <w:rPr>
          <w:rFonts w:hint="eastAsia" w:ascii="仿宋_GB2312" w:hAnsi="仿宋_GB2312" w:eastAsia="仿宋_GB2312" w:cs="仿宋_GB2312"/>
          <w:sz w:val="32"/>
          <w:szCs w:val="32"/>
        </w:rPr>
        <w:t>、公司对公账号</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4</w:t>
      </w:r>
      <w:r>
        <w:rPr>
          <w:rFonts w:hint="eastAsia" w:ascii="仿宋_GB2312" w:hAnsi="仿宋_GB2312" w:eastAsia="仿宋_GB2312" w:cs="仿宋_GB2312"/>
          <w:sz w:val="32"/>
          <w:szCs w:val="32"/>
        </w:rPr>
        <w:t>、业绩证明（近3年同类产品业绩证明，中标通知书或合同。价格及公章需清晰可见）</w:t>
      </w:r>
      <w:r>
        <w:rPr>
          <w:rFonts w:hint="eastAsia" w:ascii="仿宋_GB2312" w:hAnsi="仿宋_GB2312" w:cs="仿宋_GB2312"/>
          <w:sz w:val="32"/>
          <w:szCs w:val="32"/>
        </w:rPr>
        <w:t>。</w:t>
      </w:r>
    </w:p>
    <w:p>
      <w:pPr>
        <w:pStyle w:val="39"/>
        <w:spacing w:line="360" w:lineRule="auto"/>
        <w:ind w:firstLine="640"/>
        <w:rPr>
          <w:rFonts w:ascii="仿宋_GB2312" w:hAnsi="仿宋_GB2312" w:eastAsia="仿宋_GB2312" w:cs="仿宋_GB2312"/>
          <w:sz w:val="32"/>
          <w:szCs w:val="32"/>
        </w:rPr>
      </w:pPr>
      <w:r>
        <w:rPr>
          <w:rFonts w:hint="eastAsia" w:ascii="仿宋_GB2312" w:hAnsi="仿宋_GB2312" w:cs="仿宋_GB2312"/>
          <w:sz w:val="32"/>
          <w:szCs w:val="32"/>
        </w:rPr>
        <w:t>5</w:t>
      </w:r>
      <w:r>
        <w:rPr>
          <w:rFonts w:hint="eastAsia" w:ascii="仿宋_GB2312" w:hAnsi="仿宋_GB2312" w:eastAsia="仿宋_GB2312" w:cs="仿宋_GB2312"/>
          <w:sz w:val="32"/>
          <w:szCs w:val="32"/>
        </w:rPr>
        <w:t>、招标文件响应程度（填写优于、满足、不满足）</w:t>
      </w:r>
      <w:r>
        <w:rPr>
          <w:rFonts w:hint="eastAsia" w:ascii="仿宋_GB2312" w:hAnsi="仿宋_GB2312" w:cs="仿宋_GB2312"/>
          <w:sz w:val="32"/>
          <w:szCs w:val="32"/>
        </w:rPr>
        <w:t>。</w:t>
      </w:r>
    </w:p>
    <w:p>
      <w:pPr>
        <w:pStyle w:val="7"/>
        <w:spacing w:line="360" w:lineRule="auto"/>
        <w:ind w:firstLine="640" w:firstLineChars="200"/>
        <w:rPr>
          <w:rFonts w:ascii="仿宋_GB2312" w:hAnsi="仿宋_GB2312" w:cs="仿宋_GB2312"/>
          <w:sz w:val="32"/>
          <w:szCs w:val="32"/>
        </w:rPr>
      </w:pPr>
      <w:r>
        <w:rPr>
          <w:rFonts w:hint="eastAsia" w:ascii="仿宋_GB2312"/>
          <w:sz w:val="32"/>
          <w:szCs w:val="32"/>
        </w:rPr>
        <w:t>注：以上文件均需装订成册，响应文件需递交正本1份，副本4份，PDF格式电子文档1份(光盘或优盘)；以上资料需签字、盖章的必须由法定代表人或经其授权的代表签字，并加盖公章密封。响应文件在封面必须清楚地标明“正本”或“副本”字样。若副本与正本不符，以正本为准。响应文件及资料无论供应商是否中标均不予退还。</w:t>
      </w:r>
    </w:p>
    <w:p>
      <w:pPr>
        <w:spacing w:line="360" w:lineRule="auto"/>
        <w:outlineLvl w:val="1"/>
        <w:rPr>
          <w:rFonts w:ascii="楷体" w:hAnsi="楷体" w:eastAsia="楷体" w:cs="楷体"/>
          <w:b/>
          <w:bCs/>
          <w:sz w:val="32"/>
          <w:szCs w:val="32"/>
        </w:rPr>
      </w:pPr>
      <w:bookmarkStart w:id="32" w:name="_Toc22764"/>
      <w:bookmarkStart w:id="33" w:name="_Toc29207_WPSOffice_Level2"/>
      <w:bookmarkStart w:id="34" w:name="_Toc9420"/>
      <w:r>
        <w:rPr>
          <w:rFonts w:hint="eastAsia" w:ascii="楷体" w:hAnsi="楷体" w:eastAsia="楷体" w:cs="楷体"/>
          <w:b/>
          <w:bCs/>
          <w:sz w:val="32"/>
          <w:szCs w:val="32"/>
        </w:rPr>
        <w:t>（三）、评标与中标</w:t>
      </w:r>
      <w:bookmarkEnd w:id="32"/>
      <w:bookmarkEnd w:id="33"/>
      <w:bookmarkEnd w:id="34"/>
    </w:p>
    <w:p>
      <w:pPr>
        <w:pStyle w:val="39"/>
        <w:spacing w:line="360" w:lineRule="auto"/>
        <w:ind w:firstLine="640" w:firstLineChars="200"/>
        <w:rPr>
          <w:rFonts w:ascii="仿宋_GB2312" w:eastAsia="仿宋_GB2312"/>
          <w:sz w:val="32"/>
          <w:szCs w:val="32"/>
        </w:rPr>
      </w:pPr>
      <w:r>
        <w:rPr>
          <w:rFonts w:hint="eastAsia" w:ascii="仿宋_GB2312"/>
          <w:sz w:val="32"/>
          <w:szCs w:val="32"/>
        </w:rPr>
        <w:t>鄂尔多斯机场管理集团有限公司</w:t>
      </w:r>
      <w:r>
        <w:rPr>
          <w:rFonts w:hint="eastAsia" w:ascii="仿宋_GB2312" w:eastAsia="仿宋_GB2312"/>
          <w:sz w:val="32"/>
          <w:szCs w:val="32"/>
        </w:rPr>
        <w:t>采购管理部门组织成立竞争性磋商小组，小组将按照以下基本程序组织磋商：</w:t>
      </w:r>
    </w:p>
    <w:p>
      <w:pPr>
        <w:pStyle w:val="39"/>
        <w:spacing w:line="360" w:lineRule="auto"/>
        <w:ind w:firstLine="640" w:firstLineChars="200"/>
        <w:rPr>
          <w:rFonts w:ascii="仿宋_GB2312" w:eastAsia="仿宋_GB2312"/>
          <w:sz w:val="32"/>
          <w:szCs w:val="32"/>
        </w:rPr>
      </w:pPr>
      <w:r>
        <w:rPr>
          <w:rFonts w:ascii="仿宋_GB2312"/>
          <w:sz w:val="32"/>
          <w:szCs w:val="32"/>
        </w:rPr>
        <w:t>1.</w:t>
      </w:r>
      <w:r>
        <w:rPr>
          <w:rFonts w:hint="eastAsia" w:ascii="仿宋_GB2312" w:eastAsia="仿宋_GB2312"/>
          <w:sz w:val="32"/>
          <w:szCs w:val="32"/>
        </w:rPr>
        <w:t>公布递交响应文件投标人名称。监督人员在磋商现场检查响应文件的密封情况，响应文件的密封情况经确认无误后，工作人员当众拆封。</w:t>
      </w:r>
    </w:p>
    <w:p>
      <w:pPr>
        <w:pStyle w:val="39"/>
        <w:spacing w:line="360" w:lineRule="auto"/>
        <w:ind w:firstLine="640" w:firstLineChars="200"/>
        <w:rPr>
          <w:rFonts w:ascii="仿宋_GB2312" w:eastAsia="仿宋_GB2312"/>
          <w:sz w:val="32"/>
          <w:szCs w:val="32"/>
        </w:rPr>
      </w:pPr>
      <w:r>
        <w:rPr>
          <w:rFonts w:ascii="仿宋_GB2312"/>
          <w:sz w:val="32"/>
          <w:szCs w:val="32"/>
        </w:rPr>
        <w:t>2.</w:t>
      </w:r>
      <w:r>
        <w:rPr>
          <w:rFonts w:hint="eastAsia" w:ascii="仿宋_GB2312" w:eastAsia="仿宋_GB2312"/>
          <w:sz w:val="32"/>
          <w:szCs w:val="32"/>
        </w:rPr>
        <w:t>磋商小组从供应商递交的响应性文件的有效性、完整性和对竞争性磋商文件的响应程度进行审查。经审查，递交响应文件供应商法定代表或其委托授权人身份与响应文件不符的；或未按照竞争性磋商文件规定装订、密封、签署、盖章的，按无效投标处理。</w:t>
      </w:r>
    </w:p>
    <w:p>
      <w:pPr>
        <w:pStyle w:val="39"/>
        <w:spacing w:line="360" w:lineRule="auto"/>
        <w:ind w:firstLine="640" w:firstLineChars="200"/>
        <w:rPr>
          <w:rFonts w:ascii="仿宋_GB2312" w:eastAsia="仿宋_GB2312"/>
          <w:sz w:val="32"/>
          <w:szCs w:val="32"/>
        </w:rPr>
      </w:pPr>
      <w:r>
        <w:rPr>
          <w:rFonts w:ascii="仿宋_GB2312"/>
          <w:sz w:val="32"/>
          <w:szCs w:val="32"/>
        </w:rPr>
        <w:t>3.</w:t>
      </w:r>
      <w:r>
        <w:rPr>
          <w:rFonts w:hint="eastAsia" w:ascii="仿宋_GB2312" w:eastAsia="仿宋_GB2312"/>
          <w:sz w:val="32"/>
          <w:szCs w:val="32"/>
        </w:rPr>
        <w:t>磋商与报价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A.磋商</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磋商小组对投标文件响应情况、报价比例、企业资质与业绩、执行合同能力等方面进行全面比较与评价，了解和掌握各实质性响应供应商的响应程度，做好磋商准备。</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磋商小组通过投标人抽签的顺序确定参加磋商投标人的磋商顺序，所有磋商小组成员集体与每位投标人分别进行单独磋商，磋商轮次由小组成员视情况而定。</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B.报价</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每一个磋商轮次进行一次报价，报价以书面形式须由法定代表人或其授权人签字确认后送交磋商小组。</w:t>
      </w:r>
    </w:p>
    <w:p>
      <w:pPr>
        <w:pStyle w:val="39"/>
        <w:spacing w:line="360" w:lineRule="auto"/>
        <w:ind w:firstLine="640" w:firstLineChars="200"/>
        <w:rPr>
          <w:rFonts w:ascii="仿宋_GB2312" w:eastAsia="仿宋_GB2312"/>
          <w:sz w:val="32"/>
          <w:szCs w:val="32"/>
        </w:rPr>
      </w:pPr>
      <w:r>
        <w:rPr>
          <w:rFonts w:ascii="仿宋_GB2312"/>
          <w:sz w:val="32"/>
          <w:szCs w:val="32"/>
        </w:rPr>
        <w:t>4.</w:t>
      </w:r>
      <w:r>
        <w:rPr>
          <w:rFonts w:hint="eastAsia" w:ascii="仿宋_GB2312" w:eastAsia="仿宋_GB2312"/>
          <w:sz w:val="32"/>
          <w:szCs w:val="32"/>
        </w:rPr>
        <w:t xml:space="preserve"> 评标办法与确定成交供应商</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 xml:space="preserve">（1）在满足竞争性磋商文件全部内容的基础上，磋商小组按照综合评分法，根据报价情况由低到高排列供应商顺序并推荐中标候选人，报价相同时，业绩多者优先。 </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2）在磋商结束后，按照磋商小组推荐的中标候选人顺序确定排序第一的投标人为成交供应商，如成交供应商拒绝与采购人签订合同，或签订合同后无法履约的，磋商小组可以取消该供应商的中标资格，按顺序由排在其次的成交候选供应商递补，以此类推。</w:t>
      </w:r>
      <w:bookmarkStart w:id="35" w:name="_Toc241"/>
    </w:p>
    <w:p>
      <w:pPr>
        <w:pStyle w:val="39"/>
        <w:spacing w:line="360" w:lineRule="auto"/>
        <w:ind w:firstLine="640" w:firstLineChars="200"/>
        <w:rPr>
          <w:rFonts w:ascii="仿宋_GB2312" w:eastAsia="仿宋_GB2312"/>
          <w:sz w:val="32"/>
          <w:szCs w:val="32"/>
        </w:rPr>
      </w:pPr>
      <w:r>
        <w:rPr>
          <w:rFonts w:hint="eastAsia" w:ascii="仿宋_GB2312"/>
          <w:sz w:val="32"/>
          <w:szCs w:val="32"/>
        </w:rPr>
        <w:t>（3）</w:t>
      </w:r>
      <w:r>
        <w:rPr>
          <w:rFonts w:hint="eastAsia" w:ascii="仿宋_GB2312" w:eastAsia="仿宋_GB2312"/>
          <w:sz w:val="32"/>
          <w:szCs w:val="32"/>
        </w:rPr>
        <w:t>评分细则</w:t>
      </w:r>
      <w:bookmarkEnd w:id="35"/>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1、价格权重</w:t>
      </w:r>
      <w:r>
        <w:rPr>
          <w:rFonts w:hint="eastAsia" w:ascii="仿宋_GB2312"/>
          <w:sz w:val="32"/>
          <w:szCs w:val="32"/>
        </w:rPr>
        <w:t>50</w:t>
      </w:r>
      <w:r>
        <w:rPr>
          <w:rFonts w:hint="eastAsia" w:ascii="仿宋_GB2312" w:eastAsia="仿宋_GB2312"/>
          <w:sz w:val="32"/>
          <w:szCs w:val="32"/>
        </w:rPr>
        <w:t>%</w:t>
      </w:r>
    </w:p>
    <w:p>
      <w:pPr>
        <w:pStyle w:val="39"/>
        <w:spacing w:line="360" w:lineRule="auto"/>
        <w:ind w:firstLine="640" w:firstLineChars="200"/>
        <w:rPr>
          <w:rFonts w:ascii="仿宋_GB2312" w:eastAsia="仿宋_GB2312"/>
          <w:sz w:val="32"/>
          <w:szCs w:val="32"/>
        </w:rPr>
      </w:pPr>
      <w:r>
        <w:rPr>
          <w:rFonts w:hint="eastAsia" w:ascii="仿宋_GB2312" w:eastAsia="仿宋_GB2312"/>
          <w:sz w:val="32"/>
          <w:szCs w:val="32"/>
        </w:rPr>
        <w:t>最低投标报价为基准价，投标报价得分=（基础价÷投标报价）×</w:t>
      </w:r>
      <w:r>
        <w:rPr>
          <w:rFonts w:hint="eastAsia" w:ascii="仿宋_GB2312"/>
          <w:sz w:val="32"/>
          <w:szCs w:val="32"/>
        </w:rPr>
        <w:t>00</w:t>
      </w:r>
      <w:r>
        <w:rPr>
          <w:rFonts w:hint="eastAsia" w:ascii="仿宋_GB2312" w:eastAsia="仿宋_GB2312"/>
          <w:sz w:val="32"/>
          <w:szCs w:val="32"/>
        </w:rPr>
        <w:t>%×100。</w:t>
      </w:r>
    </w:p>
    <w:p>
      <w:pPr>
        <w:pStyle w:val="39"/>
        <w:spacing w:line="360" w:lineRule="auto"/>
        <w:ind w:firstLine="640" w:firstLineChars="200"/>
        <w:rPr>
          <w:rFonts w:ascii="仿宋_GB2312" w:eastAsia="仿宋_GB2312"/>
          <w:sz w:val="32"/>
          <w:szCs w:val="32"/>
        </w:rPr>
      </w:pPr>
      <w:r>
        <w:rPr>
          <w:rFonts w:hint="eastAsia" w:ascii="仿宋_GB2312"/>
          <w:sz w:val="32"/>
          <w:szCs w:val="32"/>
        </w:rPr>
        <w:t>2、</w:t>
      </w:r>
      <w:r>
        <w:rPr>
          <w:rFonts w:hint="eastAsia" w:ascii="仿宋_GB2312" w:eastAsia="仿宋_GB2312"/>
          <w:sz w:val="32"/>
          <w:szCs w:val="32"/>
        </w:rPr>
        <w:t>商务及技术权重</w:t>
      </w:r>
      <w:r>
        <w:rPr>
          <w:rFonts w:hint="eastAsia" w:ascii="仿宋_GB2312"/>
          <w:sz w:val="32"/>
          <w:szCs w:val="32"/>
        </w:rPr>
        <w:t>50</w:t>
      </w:r>
      <w:r>
        <w:rPr>
          <w:rFonts w:hint="eastAsia" w:ascii="仿宋_GB2312" w:eastAsia="仿宋_GB2312"/>
          <w:sz w:val="32"/>
          <w:szCs w:val="32"/>
        </w:rPr>
        <w:t>%</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0"/>
        <w:gridCol w:w="7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2470" w:type="dxa"/>
            <w:vAlign w:val="center"/>
          </w:tcPr>
          <w:p>
            <w:pPr>
              <w:spacing w:line="240" w:lineRule="exact"/>
              <w:jc w:val="center"/>
              <w:rPr>
                <w:rFonts w:ascii="仿宋_GB2312" w:hAnsi="仿宋_GB2312" w:cs="仿宋_GB2312"/>
                <w:b/>
                <w:bCs/>
                <w:szCs w:val="24"/>
              </w:rPr>
            </w:pPr>
            <w:r>
              <w:rPr>
                <w:rFonts w:hint="eastAsia" w:ascii="仿宋_GB2312" w:hAnsi="仿宋_GB2312" w:cs="仿宋_GB2312"/>
                <w:b/>
                <w:bCs/>
                <w:szCs w:val="24"/>
              </w:rPr>
              <w:t>评审因素</w:t>
            </w:r>
          </w:p>
        </w:tc>
        <w:tc>
          <w:tcPr>
            <w:tcW w:w="7284" w:type="dxa"/>
            <w:vAlign w:val="center"/>
          </w:tcPr>
          <w:p>
            <w:pPr>
              <w:spacing w:line="240" w:lineRule="exact"/>
              <w:jc w:val="center"/>
              <w:rPr>
                <w:rFonts w:ascii="仿宋_GB2312" w:hAnsi="仿宋_GB2312" w:cs="仿宋_GB2312"/>
                <w:b/>
                <w:bCs/>
                <w:szCs w:val="24"/>
              </w:rPr>
            </w:pPr>
            <w:r>
              <w:rPr>
                <w:rFonts w:hint="eastAsia" w:ascii="仿宋_GB2312" w:hAnsi="仿宋_GB2312" w:cs="仿宋_GB2312"/>
                <w:b/>
                <w:bCs/>
                <w:szCs w:val="24"/>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2470" w:type="dxa"/>
            <w:vMerge w:val="restart"/>
            <w:vAlign w:val="center"/>
          </w:tcPr>
          <w:p>
            <w:pPr>
              <w:spacing w:line="240" w:lineRule="exact"/>
              <w:jc w:val="center"/>
              <w:rPr>
                <w:rFonts w:ascii="仿宋_GB2312" w:hAnsi="仿宋_GB2312" w:cs="仿宋_GB2312"/>
                <w:szCs w:val="24"/>
              </w:rPr>
            </w:pPr>
            <w:r>
              <w:rPr>
                <w:rFonts w:hint="eastAsia" w:ascii="仿宋_GB2312" w:hAnsi="仿宋_GB2312" w:cs="仿宋_GB2312"/>
                <w:szCs w:val="24"/>
              </w:rPr>
              <w:t>资质和业绩（25分）</w:t>
            </w:r>
          </w:p>
        </w:tc>
        <w:tc>
          <w:tcPr>
            <w:tcW w:w="7284" w:type="dxa"/>
            <w:vAlign w:val="center"/>
          </w:tcPr>
          <w:p>
            <w:pPr>
              <w:spacing w:line="240" w:lineRule="exact"/>
              <w:jc w:val="both"/>
              <w:rPr>
                <w:rFonts w:ascii="仿宋_GB2312" w:hAnsi="仿宋_GB2312" w:cs="仿宋_GB2312"/>
                <w:szCs w:val="24"/>
              </w:rPr>
            </w:pPr>
            <w:r>
              <w:rPr>
                <w:rFonts w:hint="eastAsia" w:ascii="仿宋_GB2312" w:hAnsi="仿宋_GB2312" w:cs="仿宋_GB2312"/>
                <w:szCs w:val="24"/>
              </w:rPr>
              <w:t>投标企业近两年审计业绩，以单项合同原件为准，金额及公</w:t>
            </w:r>
          </w:p>
          <w:p>
            <w:pPr>
              <w:spacing w:line="240" w:lineRule="exact"/>
              <w:jc w:val="both"/>
              <w:rPr>
                <w:rFonts w:ascii="仿宋_GB2312" w:hAnsi="仿宋_GB2312" w:cs="仿宋_GB2312"/>
                <w:szCs w:val="24"/>
              </w:rPr>
            </w:pPr>
            <w:r>
              <w:rPr>
                <w:rFonts w:hint="eastAsia" w:ascii="仿宋_GB2312" w:hAnsi="仿宋_GB2312" w:cs="仿宋_GB2312"/>
                <w:szCs w:val="24"/>
              </w:rPr>
              <w:t>章应清晰可见。</w:t>
            </w:r>
          </w:p>
          <w:p>
            <w:pPr>
              <w:spacing w:line="240" w:lineRule="exact"/>
              <w:jc w:val="both"/>
              <w:rPr>
                <w:rFonts w:ascii="仿宋_GB2312" w:hAnsi="仿宋_GB2312" w:cs="仿宋_GB2312"/>
                <w:szCs w:val="24"/>
              </w:rPr>
            </w:pPr>
            <w:r>
              <w:rPr>
                <w:rFonts w:hint="eastAsia" w:ascii="仿宋_GB2312" w:hAnsi="仿宋_GB2312" w:cs="仿宋_GB2312"/>
                <w:szCs w:val="24"/>
              </w:rPr>
              <w:t>1、单项合同金额＜5万元的，每有一项得2分；</w:t>
            </w:r>
          </w:p>
          <w:p>
            <w:pPr>
              <w:spacing w:line="240" w:lineRule="exact"/>
              <w:jc w:val="both"/>
              <w:rPr>
                <w:rFonts w:ascii="仿宋_GB2312" w:hAnsi="仿宋_GB2312" w:cs="仿宋_GB2312"/>
                <w:szCs w:val="24"/>
              </w:rPr>
            </w:pPr>
            <w:r>
              <w:rPr>
                <w:rFonts w:hint="eastAsia" w:ascii="仿宋_GB2312" w:hAnsi="仿宋_GB2312" w:cs="仿宋_GB2312"/>
                <w:szCs w:val="24"/>
              </w:rPr>
              <w:t>2、5万元≤单项合同金额≤50万元的，每有一项得3分；</w:t>
            </w:r>
          </w:p>
          <w:p>
            <w:pPr>
              <w:spacing w:line="240" w:lineRule="exact"/>
              <w:jc w:val="both"/>
              <w:rPr>
                <w:rFonts w:ascii="仿宋_GB2312" w:hAnsi="仿宋_GB2312" w:cs="仿宋_GB2312"/>
                <w:szCs w:val="24"/>
              </w:rPr>
            </w:pPr>
            <w:r>
              <w:rPr>
                <w:rFonts w:hint="eastAsia" w:ascii="仿宋_GB2312" w:hAnsi="仿宋_GB2312" w:cs="仿宋_GB2312"/>
                <w:szCs w:val="24"/>
              </w:rPr>
              <w:t>3、50万元≤单项合同金额的，每有一项得5分；</w:t>
            </w:r>
          </w:p>
          <w:p>
            <w:pPr>
              <w:spacing w:line="240" w:lineRule="exact"/>
              <w:jc w:val="both"/>
              <w:rPr>
                <w:rFonts w:ascii="仿宋_GB2312" w:hAnsi="仿宋_GB2312" w:cs="仿宋_GB2312"/>
                <w:szCs w:val="24"/>
              </w:rPr>
            </w:pPr>
            <w:r>
              <w:rPr>
                <w:rFonts w:hint="eastAsia" w:ascii="仿宋_GB2312" w:hAnsi="仿宋_GB2312" w:cs="仿宋_GB2312"/>
                <w:szCs w:val="24"/>
              </w:rPr>
              <w:t>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2470" w:type="dxa"/>
            <w:vMerge w:val="continue"/>
            <w:vAlign w:val="center"/>
          </w:tcPr>
          <w:p>
            <w:pPr>
              <w:spacing w:line="240" w:lineRule="exact"/>
              <w:jc w:val="center"/>
              <w:rPr>
                <w:rFonts w:ascii="仿宋_GB2312" w:hAnsi="仿宋_GB2312" w:cs="仿宋_GB2312"/>
                <w:szCs w:val="24"/>
              </w:rPr>
            </w:pPr>
          </w:p>
        </w:tc>
        <w:tc>
          <w:tcPr>
            <w:tcW w:w="7284" w:type="dxa"/>
            <w:vAlign w:val="center"/>
          </w:tcPr>
          <w:p>
            <w:pPr>
              <w:spacing w:line="240" w:lineRule="exact"/>
              <w:jc w:val="both"/>
              <w:rPr>
                <w:rFonts w:ascii="仿宋_GB2312" w:hAnsi="仿宋_GB2312" w:cs="仿宋_GB2312"/>
                <w:szCs w:val="24"/>
              </w:rPr>
            </w:pPr>
            <w:r>
              <w:rPr>
                <w:rFonts w:hint="eastAsia" w:ascii="仿宋_GB2312" w:hAnsi="仿宋_GB2312" w:cs="仿宋_GB2312"/>
                <w:szCs w:val="24"/>
              </w:rPr>
              <w:t>投标企业近三年有机场或大中型国有企业审计业绩，以单项合同原件为准，金额</w:t>
            </w:r>
          </w:p>
          <w:p>
            <w:pPr>
              <w:spacing w:line="240" w:lineRule="exact"/>
              <w:jc w:val="both"/>
              <w:rPr>
                <w:rFonts w:ascii="仿宋_GB2312" w:hAnsi="仿宋_GB2312" w:cs="仿宋_GB2312"/>
                <w:szCs w:val="24"/>
              </w:rPr>
            </w:pPr>
            <w:r>
              <w:rPr>
                <w:rFonts w:hint="eastAsia" w:ascii="仿宋_GB2312" w:hAnsi="仿宋_GB2312" w:cs="仿宋_GB2312"/>
                <w:szCs w:val="24"/>
              </w:rPr>
              <w:t>及公章应清晰可见。</w:t>
            </w:r>
          </w:p>
          <w:p>
            <w:pPr>
              <w:spacing w:line="240" w:lineRule="exact"/>
              <w:jc w:val="both"/>
              <w:rPr>
                <w:rFonts w:ascii="仿宋_GB2312" w:hAnsi="仿宋_GB2312" w:cs="仿宋_GB2312"/>
                <w:szCs w:val="24"/>
              </w:rPr>
            </w:pPr>
            <w:r>
              <w:rPr>
                <w:rFonts w:hint="eastAsia" w:ascii="仿宋_GB2312" w:hAnsi="仿宋_GB2312" w:cs="仿宋_GB2312"/>
                <w:szCs w:val="24"/>
              </w:rPr>
              <w:t>1.民航机场业绩单项合同金额＜5万元的，每有一项得2分；</w:t>
            </w:r>
          </w:p>
          <w:p>
            <w:pPr>
              <w:spacing w:line="240" w:lineRule="exact"/>
              <w:jc w:val="both"/>
              <w:rPr>
                <w:rFonts w:ascii="仿宋_GB2312" w:hAnsi="仿宋_GB2312" w:cs="仿宋_GB2312"/>
                <w:szCs w:val="24"/>
              </w:rPr>
            </w:pPr>
            <w:r>
              <w:rPr>
                <w:rFonts w:hint="eastAsia" w:ascii="仿宋_GB2312" w:hAnsi="仿宋_GB2312" w:cs="仿宋_GB2312"/>
                <w:szCs w:val="24"/>
              </w:rPr>
              <w:t>2.民航机场业绩5万元≤单项合同金额≤10万元的，每有一项得4分；</w:t>
            </w:r>
          </w:p>
          <w:p>
            <w:pPr>
              <w:spacing w:line="240" w:lineRule="exact"/>
              <w:jc w:val="both"/>
              <w:rPr>
                <w:rFonts w:ascii="仿宋_GB2312" w:hAnsi="仿宋_GB2312" w:cs="仿宋_GB2312"/>
                <w:szCs w:val="24"/>
              </w:rPr>
            </w:pPr>
            <w:r>
              <w:rPr>
                <w:rFonts w:hint="eastAsia" w:ascii="仿宋_GB2312" w:hAnsi="仿宋_GB2312" w:cs="仿宋_GB2312"/>
                <w:szCs w:val="24"/>
              </w:rPr>
              <w:t>3.民航机场业绩10万元≤单项合同金额的，每有一项得5分；</w:t>
            </w:r>
          </w:p>
          <w:p>
            <w:pPr>
              <w:spacing w:line="240" w:lineRule="exact"/>
              <w:jc w:val="both"/>
              <w:rPr>
                <w:rFonts w:ascii="仿宋_GB2312" w:hAnsi="仿宋_GB2312" w:cs="仿宋_GB2312"/>
                <w:szCs w:val="24"/>
              </w:rPr>
            </w:pPr>
            <w:r>
              <w:rPr>
                <w:rFonts w:hint="eastAsia" w:ascii="仿宋_GB2312" w:hAnsi="仿宋_GB2312" w:cs="仿宋_GB2312"/>
                <w:szCs w:val="24"/>
              </w:rPr>
              <w:t>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2470" w:type="dxa"/>
            <w:vAlign w:val="center"/>
          </w:tcPr>
          <w:p>
            <w:pPr>
              <w:spacing w:line="240" w:lineRule="exact"/>
              <w:jc w:val="center"/>
              <w:rPr>
                <w:rFonts w:ascii="仿宋_GB2312" w:hAnsi="仿宋_GB2312" w:cs="仿宋_GB2312"/>
                <w:szCs w:val="24"/>
              </w:rPr>
            </w:pPr>
            <w:r>
              <w:rPr>
                <w:rFonts w:hint="eastAsia" w:ascii="仿宋_GB2312" w:hAnsi="仿宋_GB2312" w:cs="仿宋_GB2312"/>
                <w:szCs w:val="24"/>
              </w:rPr>
              <w:t>投标项目响应程度（20分）</w:t>
            </w:r>
          </w:p>
        </w:tc>
        <w:tc>
          <w:tcPr>
            <w:tcW w:w="7284" w:type="dxa"/>
            <w:vAlign w:val="center"/>
          </w:tcPr>
          <w:p>
            <w:pPr>
              <w:numPr>
                <w:ilvl w:val="0"/>
                <w:numId w:val="5"/>
              </w:numPr>
              <w:spacing w:line="240" w:lineRule="exact"/>
              <w:jc w:val="both"/>
              <w:rPr>
                <w:rFonts w:ascii="仿宋_GB2312" w:hAnsi="仿宋_GB2312" w:cs="仿宋_GB2312"/>
                <w:szCs w:val="24"/>
              </w:rPr>
            </w:pPr>
            <w:r>
              <w:rPr>
                <w:rFonts w:hint="eastAsia" w:ascii="仿宋_GB2312" w:hAnsi="仿宋_GB2312" w:cs="仿宋_GB2312"/>
                <w:szCs w:val="24"/>
              </w:rPr>
              <w:t>服务项目完全响应招标文件要求，全部或部分服务优于招标文件要求。（15-20分）</w:t>
            </w:r>
          </w:p>
          <w:p>
            <w:pPr>
              <w:numPr>
                <w:ilvl w:val="0"/>
                <w:numId w:val="5"/>
              </w:numPr>
              <w:spacing w:line="240" w:lineRule="exact"/>
              <w:jc w:val="both"/>
              <w:rPr>
                <w:rFonts w:ascii="仿宋_GB2312" w:hAnsi="仿宋_GB2312" w:cs="仿宋_GB2312"/>
                <w:szCs w:val="24"/>
              </w:rPr>
            </w:pPr>
            <w:r>
              <w:rPr>
                <w:rFonts w:hint="eastAsia" w:ascii="仿宋_GB2312" w:hAnsi="仿宋_GB2312" w:cs="仿宋_GB2312"/>
                <w:szCs w:val="24"/>
              </w:rPr>
              <w:t>服务项目基本响应招标文件要求，服务项目基本满足招标文件要求。（9-14分）</w:t>
            </w:r>
          </w:p>
          <w:p>
            <w:pPr>
              <w:numPr>
                <w:ilvl w:val="0"/>
                <w:numId w:val="5"/>
              </w:numPr>
              <w:spacing w:line="240" w:lineRule="exact"/>
              <w:jc w:val="both"/>
            </w:pPr>
            <w:r>
              <w:rPr>
                <w:rFonts w:hint="eastAsia" w:ascii="仿宋_GB2312" w:hAnsi="仿宋_GB2312" w:cs="仿宋_GB2312"/>
                <w:szCs w:val="24"/>
              </w:rPr>
              <w:t>服务项目没有完全响应招标文件要求，服务项目低于招标文件要求。（0-8分）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0" w:hRule="atLeast"/>
          <w:jc w:val="center"/>
        </w:trPr>
        <w:tc>
          <w:tcPr>
            <w:tcW w:w="2470" w:type="dxa"/>
            <w:vAlign w:val="center"/>
          </w:tcPr>
          <w:p>
            <w:pPr>
              <w:spacing w:line="240" w:lineRule="exact"/>
              <w:jc w:val="center"/>
              <w:rPr>
                <w:rFonts w:ascii="仿宋_GB2312" w:hAnsi="仿宋_GB2312" w:cs="仿宋_GB2312"/>
                <w:szCs w:val="24"/>
              </w:rPr>
            </w:pPr>
            <w:r>
              <w:rPr>
                <w:rFonts w:hint="eastAsia" w:ascii="仿宋_GB2312" w:hAnsi="仿宋_GB2312" w:cs="仿宋_GB2312"/>
                <w:szCs w:val="24"/>
              </w:rPr>
              <w:t>服务体系、服务承诺（5分）</w:t>
            </w:r>
          </w:p>
        </w:tc>
        <w:tc>
          <w:tcPr>
            <w:tcW w:w="7284" w:type="dxa"/>
            <w:vAlign w:val="center"/>
          </w:tcPr>
          <w:p>
            <w:pPr>
              <w:spacing w:line="240" w:lineRule="exact"/>
              <w:jc w:val="both"/>
              <w:rPr>
                <w:rFonts w:ascii="仿宋_GB2312" w:hAnsi="仿宋_GB2312" w:cs="仿宋_GB2312"/>
                <w:szCs w:val="24"/>
              </w:rPr>
            </w:pPr>
            <w:r>
              <w:rPr>
                <w:rFonts w:hint="eastAsia" w:ascii="仿宋_GB2312" w:hAnsi="仿宋_GB2312" w:cs="仿宋_GB2312"/>
                <w:szCs w:val="24"/>
              </w:rPr>
              <w:t>1、有详细、周到的服务方案及响应机制；（5分）</w:t>
            </w:r>
          </w:p>
          <w:p>
            <w:pPr>
              <w:spacing w:line="240" w:lineRule="exact"/>
              <w:jc w:val="both"/>
              <w:rPr>
                <w:rFonts w:ascii="仿宋_GB2312" w:hAnsi="仿宋_GB2312" w:cs="仿宋_GB2312"/>
                <w:szCs w:val="24"/>
              </w:rPr>
            </w:pPr>
            <w:r>
              <w:rPr>
                <w:rFonts w:hint="eastAsia" w:ascii="仿宋_GB2312" w:hAnsi="仿宋_GB2312" w:cs="仿宋_GB2312"/>
                <w:szCs w:val="24"/>
              </w:rPr>
              <w:t>2、服务方案较详细，有响应机制；（3分）</w:t>
            </w:r>
          </w:p>
          <w:p>
            <w:pPr>
              <w:spacing w:line="240" w:lineRule="exact"/>
              <w:jc w:val="both"/>
              <w:rPr>
                <w:rFonts w:ascii="仿宋_GB2312" w:hAnsi="仿宋_GB2312" w:cs="仿宋_GB2312"/>
                <w:szCs w:val="24"/>
              </w:rPr>
            </w:pPr>
            <w:r>
              <w:rPr>
                <w:rFonts w:hint="eastAsia" w:ascii="仿宋_GB2312" w:hAnsi="仿宋_GB2312" w:cs="仿宋_GB2312"/>
                <w:szCs w:val="24"/>
              </w:rPr>
              <w:t>3、缺项0分。</w:t>
            </w:r>
          </w:p>
        </w:tc>
      </w:tr>
    </w:tbl>
    <w:p>
      <w:pPr>
        <w:pStyle w:val="7"/>
        <w:spacing w:line="360" w:lineRule="auto"/>
        <w:ind w:firstLine="640" w:firstLineChars="200"/>
        <w:jc w:val="both"/>
        <w:rPr>
          <w:rFonts w:ascii="仿宋_GB2312"/>
          <w:sz w:val="28"/>
          <w:szCs w:val="28"/>
        </w:rPr>
      </w:pPr>
      <w:r>
        <w:rPr>
          <w:rFonts w:hint="eastAsia" w:ascii="仿宋_GB2312"/>
          <w:sz w:val="32"/>
          <w:szCs w:val="32"/>
        </w:rPr>
        <w:t>2.项目中标结果将于2-4个工作日后在微信公众号上进行公布，供应商可自行登陆查询，不再另行通知。</w:t>
      </w:r>
    </w:p>
    <w:p>
      <w:pPr>
        <w:pStyle w:val="3"/>
        <w:rPr>
          <w:rFonts w:ascii="黑体" w:hAnsi="黑体" w:eastAsia="黑体" w:cs="黑体"/>
          <w:sz w:val="32"/>
          <w:szCs w:val="32"/>
        </w:rPr>
      </w:pPr>
      <w:bookmarkStart w:id="36" w:name="_Toc20571"/>
      <w:r>
        <w:rPr>
          <w:rFonts w:hint="eastAsia"/>
        </w:rPr>
        <w:br w:type="page"/>
      </w:r>
      <w:bookmarkStart w:id="37" w:name="_Toc27473_WPSOffice_Level1"/>
      <w:bookmarkStart w:id="38" w:name="_Toc15780"/>
      <w:r>
        <w:rPr>
          <w:rFonts w:hint="eastAsia" w:ascii="黑体" w:hAnsi="黑体" w:eastAsia="黑体" w:cs="黑体"/>
          <w:sz w:val="32"/>
          <w:szCs w:val="32"/>
        </w:rPr>
        <w:t>四、响应文件格式与要求</w:t>
      </w:r>
      <w:bookmarkEnd w:id="36"/>
      <w:bookmarkEnd w:id="37"/>
      <w:bookmarkEnd w:id="38"/>
    </w:p>
    <w:p/>
    <w:p/>
    <w:p/>
    <w:p/>
    <w:p/>
    <w:p>
      <w:pPr>
        <w:jc w:val="center"/>
        <w:outlineLvl w:val="0"/>
        <w:rPr>
          <w:sz w:val="52"/>
          <w:szCs w:val="52"/>
        </w:rPr>
      </w:pPr>
      <w:bookmarkStart w:id="39" w:name="_Toc30000_WPSOffice_Level1"/>
      <w:bookmarkStart w:id="40" w:name="_Toc10239_WPSOffice_Level1"/>
      <w:bookmarkStart w:id="41" w:name="_Toc14054"/>
      <w:r>
        <w:rPr>
          <w:rFonts w:hint="eastAsia"/>
          <w:sz w:val="52"/>
          <w:szCs w:val="52"/>
        </w:rPr>
        <w:t>竞争性磋商响应文件</w:t>
      </w:r>
      <w:bookmarkEnd w:id="39"/>
      <w:bookmarkEnd w:id="40"/>
      <w:bookmarkEnd w:id="41"/>
    </w:p>
    <w:p>
      <w:pPr>
        <w:jc w:val="center"/>
        <w:outlineLvl w:val="0"/>
        <w:rPr>
          <w:sz w:val="52"/>
          <w:szCs w:val="52"/>
        </w:rPr>
      </w:pPr>
      <w:bookmarkStart w:id="42" w:name="_Toc5904"/>
      <w:bookmarkStart w:id="43" w:name="_Toc28058_WPSOffice_Level1"/>
      <w:bookmarkStart w:id="44" w:name="_Toc11321_WPSOffice_Level1"/>
      <w:r>
        <w:rPr>
          <w:rFonts w:hint="eastAsia"/>
          <w:sz w:val="52"/>
          <w:szCs w:val="52"/>
        </w:rPr>
        <w:t>（正本/副本）</w:t>
      </w:r>
      <w:bookmarkEnd w:id="42"/>
      <w:bookmarkEnd w:id="43"/>
      <w:bookmarkEnd w:id="44"/>
    </w:p>
    <w:p>
      <w:pPr>
        <w:jc w:val="center"/>
        <w:outlineLvl w:val="0"/>
        <w:rPr>
          <w:sz w:val="44"/>
          <w:szCs w:val="44"/>
        </w:rPr>
      </w:pPr>
      <w:bookmarkStart w:id="45" w:name="_Toc7739_WPSOffice_Level1"/>
      <w:bookmarkStart w:id="46" w:name="_Toc16063_WPSOffice_Level1"/>
      <w:bookmarkStart w:id="47" w:name="_Toc3121"/>
      <w:r>
        <w:rPr>
          <w:rFonts w:hint="eastAsia"/>
          <w:sz w:val="44"/>
          <w:szCs w:val="44"/>
        </w:rPr>
        <w:t>项目名称：</w:t>
      </w:r>
      <w:bookmarkEnd w:id="45"/>
      <w:bookmarkEnd w:id="46"/>
      <w:bookmarkEnd w:id="47"/>
    </w:p>
    <w:p>
      <w:pPr>
        <w:jc w:val="center"/>
        <w:outlineLvl w:val="0"/>
        <w:rPr>
          <w:sz w:val="44"/>
          <w:szCs w:val="44"/>
        </w:rPr>
      </w:pPr>
      <w:bookmarkStart w:id="48" w:name="_Toc20416_WPSOffice_Level1"/>
      <w:bookmarkStart w:id="49" w:name="_Toc27375_WPSOffice_Level1"/>
      <w:bookmarkStart w:id="50" w:name="_Toc16283"/>
      <w:r>
        <w:rPr>
          <w:rFonts w:hint="eastAsia"/>
          <w:sz w:val="44"/>
          <w:szCs w:val="44"/>
        </w:rPr>
        <w:t>项目编号：</w:t>
      </w:r>
      <w:bookmarkEnd w:id="48"/>
      <w:bookmarkEnd w:id="49"/>
      <w:bookmarkEnd w:id="50"/>
    </w:p>
    <w:p>
      <w:pPr>
        <w:jc w:val="center"/>
        <w:rPr>
          <w:sz w:val="52"/>
          <w:szCs w:val="52"/>
        </w:rPr>
      </w:pPr>
    </w:p>
    <w:p>
      <w:pPr>
        <w:jc w:val="center"/>
        <w:rPr>
          <w:sz w:val="52"/>
          <w:szCs w:val="52"/>
        </w:rPr>
      </w:pPr>
    </w:p>
    <w:p>
      <w:pPr>
        <w:jc w:val="center"/>
        <w:rPr>
          <w:sz w:val="52"/>
          <w:szCs w:val="52"/>
        </w:rPr>
      </w:pPr>
    </w:p>
    <w:p>
      <w:pPr>
        <w:jc w:val="center"/>
        <w:rPr>
          <w:sz w:val="52"/>
          <w:szCs w:val="52"/>
        </w:rPr>
      </w:pPr>
    </w:p>
    <w:p>
      <w:pPr>
        <w:jc w:val="center"/>
        <w:outlineLvl w:val="0"/>
        <w:rPr>
          <w:sz w:val="44"/>
          <w:szCs w:val="44"/>
        </w:rPr>
      </w:pPr>
      <w:bookmarkStart w:id="51" w:name="_Toc12777"/>
      <w:bookmarkStart w:id="52" w:name="_Toc9337_WPSOffice_Level1"/>
      <w:bookmarkStart w:id="53" w:name="_Toc4207_WPSOffice_Level1"/>
      <w:r>
        <w:rPr>
          <w:rFonts w:hint="eastAsia"/>
          <w:sz w:val="44"/>
          <w:szCs w:val="44"/>
        </w:rPr>
        <w:t>竞标人名称</w:t>
      </w:r>
      <w:bookmarkEnd w:id="51"/>
      <w:bookmarkEnd w:id="52"/>
      <w:bookmarkEnd w:id="53"/>
    </w:p>
    <w:p>
      <w:pPr>
        <w:jc w:val="center"/>
        <w:rPr>
          <w:sz w:val="44"/>
          <w:szCs w:val="44"/>
        </w:rPr>
      </w:pPr>
    </w:p>
    <w:p>
      <w:pPr>
        <w:jc w:val="center"/>
        <w:outlineLvl w:val="0"/>
        <w:rPr>
          <w:sz w:val="44"/>
          <w:szCs w:val="44"/>
        </w:rPr>
      </w:pPr>
      <w:bookmarkStart w:id="54" w:name="_Toc9872"/>
      <w:bookmarkStart w:id="55" w:name="_Toc19196_WPSOffice_Level1"/>
      <w:bookmarkStart w:id="56" w:name="_Toc9876_WPSOffice_Level1"/>
      <w:r>
        <w:rPr>
          <w:rFonts w:hint="eastAsia"/>
          <w:sz w:val="44"/>
          <w:szCs w:val="44"/>
        </w:rPr>
        <w:t>年    月    日</w:t>
      </w:r>
      <w:bookmarkEnd w:id="54"/>
      <w:bookmarkEnd w:id="55"/>
      <w:bookmarkEnd w:id="56"/>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widowControl/>
        <w:rPr>
          <w:sz w:val="44"/>
          <w:szCs w:val="44"/>
        </w:rPr>
      </w:pPr>
    </w:p>
    <w:p>
      <w:pPr>
        <w:jc w:val="center"/>
        <w:outlineLvl w:val="0"/>
        <w:rPr>
          <w:rFonts w:ascii="仿宋_GB2312"/>
          <w:sz w:val="32"/>
          <w:szCs w:val="32"/>
        </w:rPr>
      </w:pPr>
      <w:bookmarkStart w:id="57" w:name="_Toc21080"/>
      <w:bookmarkStart w:id="58" w:name="_Toc24186_WPSOffice_Level1"/>
      <w:bookmarkStart w:id="59" w:name="_Toc11017_WPSOffice_Level1"/>
      <w:r>
        <w:rPr>
          <w:rFonts w:hint="eastAsia" w:ascii="仿宋_GB2312"/>
          <w:sz w:val="32"/>
          <w:szCs w:val="32"/>
        </w:rPr>
        <w:t>目录</w:t>
      </w:r>
      <w:bookmarkEnd w:id="57"/>
      <w:bookmarkEnd w:id="58"/>
      <w:bookmarkEnd w:id="59"/>
    </w:p>
    <w:p>
      <w:pPr>
        <w:outlineLvl w:val="0"/>
        <w:rPr>
          <w:rFonts w:ascii="仿宋_GB2312"/>
          <w:sz w:val="32"/>
          <w:szCs w:val="32"/>
        </w:rPr>
      </w:pPr>
      <w:bookmarkStart w:id="60" w:name="_Toc11380"/>
      <w:bookmarkStart w:id="61" w:name="_Toc28613_WPSOffice_Level1"/>
      <w:bookmarkStart w:id="62" w:name="_Toc30861_WPSOffice_Level1"/>
      <w:r>
        <w:rPr>
          <w:rFonts w:hint="eastAsia" w:ascii="仿宋_GB2312"/>
          <w:sz w:val="32"/>
          <w:szCs w:val="32"/>
        </w:rPr>
        <w:t>1、企业资质文件。</w:t>
      </w:r>
      <w:bookmarkEnd w:id="60"/>
      <w:bookmarkEnd w:id="61"/>
      <w:bookmarkEnd w:id="62"/>
    </w:p>
    <w:p>
      <w:pPr>
        <w:outlineLvl w:val="0"/>
        <w:rPr>
          <w:rFonts w:ascii="仿宋_GB2312"/>
          <w:sz w:val="32"/>
          <w:szCs w:val="32"/>
        </w:rPr>
      </w:pPr>
      <w:bookmarkStart w:id="63" w:name="_Toc21944"/>
      <w:bookmarkStart w:id="64" w:name="_Toc22787_WPSOffice_Level1"/>
      <w:bookmarkStart w:id="65" w:name="_Toc19917_WPSOffice_Level1"/>
      <w:r>
        <w:rPr>
          <w:rFonts w:hint="eastAsia" w:ascii="仿宋_GB2312"/>
          <w:sz w:val="32"/>
          <w:szCs w:val="32"/>
        </w:rPr>
        <w:t>2、法定代表人授权委托书</w:t>
      </w:r>
      <w:bookmarkEnd w:id="63"/>
      <w:bookmarkEnd w:id="64"/>
      <w:bookmarkEnd w:id="65"/>
    </w:p>
    <w:p>
      <w:pPr>
        <w:outlineLvl w:val="0"/>
        <w:rPr>
          <w:rFonts w:ascii="仿宋_GB2312"/>
          <w:sz w:val="32"/>
          <w:szCs w:val="32"/>
        </w:rPr>
      </w:pPr>
      <w:bookmarkStart w:id="66" w:name="_Toc26964_WPSOffice_Level1"/>
      <w:bookmarkStart w:id="67" w:name="_Toc1175_WPSOffice_Level1"/>
      <w:bookmarkStart w:id="68" w:name="_Toc857"/>
      <w:r>
        <w:rPr>
          <w:rFonts w:hint="eastAsia" w:ascii="仿宋_GB2312"/>
          <w:sz w:val="32"/>
          <w:szCs w:val="32"/>
        </w:rPr>
        <w:t>3、投标报价表</w:t>
      </w:r>
      <w:bookmarkEnd w:id="66"/>
      <w:bookmarkEnd w:id="67"/>
      <w:bookmarkEnd w:id="68"/>
    </w:p>
    <w:p>
      <w:pPr>
        <w:outlineLvl w:val="0"/>
        <w:rPr>
          <w:rFonts w:ascii="仿宋_GB2312"/>
          <w:sz w:val="32"/>
          <w:szCs w:val="32"/>
        </w:rPr>
      </w:pPr>
      <w:bookmarkStart w:id="69" w:name="_Toc1753_WPSOffice_Level1"/>
      <w:bookmarkStart w:id="70" w:name="_Toc20443_WPSOffice_Level1"/>
      <w:bookmarkStart w:id="71" w:name="_Toc19869"/>
      <w:r>
        <w:rPr>
          <w:rFonts w:hint="eastAsia" w:ascii="仿宋_GB2312"/>
          <w:sz w:val="32"/>
          <w:szCs w:val="32"/>
        </w:rPr>
        <w:t>4、服务承诺书</w:t>
      </w:r>
      <w:bookmarkEnd w:id="69"/>
      <w:bookmarkEnd w:id="70"/>
      <w:bookmarkEnd w:id="71"/>
    </w:p>
    <w:p>
      <w:pPr>
        <w:outlineLvl w:val="0"/>
        <w:rPr>
          <w:rFonts w:ascii="仿宋_GB2312"/>
          <w:sz w:val="32"/>
          <w:szCs w:val="32"/>
        </w:rPr>
      </w:pPr>
      <w:bookmarkStart w:id="72" w:name="_Toc22576_WPSOffice_Level1"/>
      <w:bookmarkStart w:id="73" w:name="_Toc14403_WPSOffice_Level1"/>
      <w:bookmarkStart w:id="74" w:name="_Toc18183"/>
      <w:r>
        <w:rPr>
          <w:rFonts w:hint="eastAsia" w:ascii="仿宋_GB2312"/>
          <w:sz w:val="32"/>
          <w:szCs w:val="32"/>
        </w:rPr>
        <w:t>5、企业资格等级证书</w:t>
      </w:r>
      <w:bookmarkEnd w:id="72"/>
      <w:bookmarkEnd w:id="73"/>
      <w:bookmarkEnd w:id="74"/>
    </w:p>
    <w:p>
      <w:pPr>
        <w:outlineLvl w:val="0"/>
        <w:rPr>
          <w:rFonts w:ascii="仿宋_GB2312"/>
          <w:sz w:val="32"/>
          <w:szCs w:val="32"/>
        </w:rPr>
      </w:pPr>
      <w:bookmarkStart w:id="75" w:name="_Toc14312_WPSOffice_Level1"/>
      <w:bookmarkStart w:id="76" w:name="_Toc17380_WPSOffice_Level1"/>
      <w:bookmarkStart w:id="77" w:name="_Toc7449"/>
      <w:r>
        <w:rPr>
          <w:rFonts w:hint="eastAsia" w:ascii="仿宋_GB2312"/>
          <w:sz w:val="32"/>
          <w:szCs w:val="32"/>
        </w:rPr>
        <w:t>6、人员技术职称证书及工作业绩</w:t>
      </w:r>
      <w:bookmarkEnd w:id="75"/>
      <w:bookmarkEnd w:id="76"/>
      <w:bookmarkEnd w:id="77"/>
    </w:p>
    <w:p>
      <w:pPr>
        <w:outlineLvl w:val="0"/>
        <w:rPr>
          <w:rFonts w:ascii="仿宋_GB2312"/>
          <w:sz w:val="32"/>
          <w:szCs w:val="32"/>
        </w:rPr>
      </w:pPr>
      <w:bookmarkStart w:id="78" w:name="_Toc26930_WPSOffice_Level1"/>
      <w:bookmarkStart w:id="79" w:name="_Toc10276_WPSOffice_Level1"/>
      <w:bookmarkStart w:id="80" w:name="_Toc13096"/>
      <w:r>
        <w:rPr>
          <w:rFonts w:hint="eastAsia" w:ascii="仿宋_GB2312"/>
          <w:sz w:val="32"/>
          <w:szCs w:val="32"/>
        </w:rPr>
        <w:t>7、企业资信证明</w:t>
      </w:r>
      <w:bookmarkEnd w:id="78"/>
      <w:bookmarkEnd w:id="79"/>
      <w:bookmarkEnd w:id="80"/>
    </w:p>
    <w:p>
      <w:pPr>
        <w:outlineLvl w:val="0"/>
        <w:rPr>
          <w:rFonts w:ascii="仿宋_GB2312"/>
          <w:sz w:val="32"/>
          <w:szCs w:val="32"/>
        </w:rPr>
      </w:pPr>
      <w:bookmarkStart w:id="81" w:name="_Toc16621_WPSOffice_Level1"/>
      <w:bookmarkStart w:id="82" w:name="_Toc9452_WPSOffice_Level1"/>
      <w:bookmarkStart w:id="83" w:name="_Toc19097"/>
      <w:r>
        <w:rPr>
          <w:rFonts w:hint="eastAsia" w:ascii="仿宋_GB2312"/>
          <w:sz w:val="32"/>
          <w:szCs w:val="32"/>
        </w:rPr>
        <w:t>8、业绩证明材料</w:t>
      </w:r>
      <w:bookmarkEnd w:id="81"/>
      <w:bookmarkEnd w:id="82"/>
      <w:bookmarkEnd w:id="83"/>
    </w:p>
    <w:p>
      <w:pPr>
        <w:widowControl/>
        <w:jc w:val="center"/>
        <w:outlineLvl w:val="0"/>
        <w:rPr>
          <w:rFonts w:ascii="仿宋_GB2312"/>
          <w:sz w:val="32"/>
          <w:szCs w:val="32"/>
        </w:rPr>
      </w:pPr>
      <w:r>
        <w:rPr>
          <w:sz w:val="44"/>
          <w:szCs w:val="44"/>
        </w:rPr>
        <w:br w:type="page"/>
      </w:r>
      <w:bookmarkStart w:id="84" w:name="_Toc8228_WPSOffice_Level1"/>
      <w:bookmarkStart w:id="85" w:name="_Toc13615_WPSOffice_Level1"/>
      <w:bookmarkStart w:id="86" w:name="_Toc20506"/>
      <w:r>
        <w:rPr>
          <w:rFonts w:hint="eastAsia" w:ascii="仿宋_GB2312"/>
          <w:sz w:val="32"/>
          <w:szCs w:val="32"/>
        </w:rPr>
        <w:t>1、企业资质文件</w:t>
      </w:r>
      <w:bookmarkEnd w:id="84"/>
      <w:bookmarkEnd w:id="85"/>
      <w:bookmarkEnd w:id="86"/>
    </w:p>
    <w:p>
      <w:pPr>
        <w:jc w:val="center"/>
        <w:rPr>
          <w:sz w:val="44"/>
          <w:szCs w:val="44"/>
        </w:rPr>
      </w:pPr>
    </w:p>
    <w:p>
      <w:pPr>
        <w:rPr>
          <w:rFonts w:ascii="仿宋_GB2312"/>
          <w:sz w:val="28"/>
          <w:szCs w:val="28"/>
        </w:rPr>
      </w:pPr>
      <w:r>
        <w:rPr>
          <w:rFonts w:hint="eastAsia" w:ascii="仿宋_GB2312"/>
          <w:sz w:val="28"/>
          <w:szCs w:val="28"/>
        </w:rPr>
        <w:t>企业营业执照（副本）复印件</w:t>
      </w:r>
    </w:p>
    <w:p>
      <w:pPr>
        <w:rPr>
          <w:rFonts w:ascii="仿宋_GB2312"/>
          <w:sz w:val="28"/>
          <w:szCs w:val="28"/>
        </w:rPr>
      </w:pPr>
      <w:r>
        <w:rPr>
          <w:rFonts w:hint="eastAsia" w:ascii="仿宋_GB2312"/>
          <w:sz w:val="28"/>
          <w:szCs w:val="28"/>
        </w:rPr>
        <w:t>组织机构代码证复印件</w:t>
      </w:r>
    </w:p>
    <w:p>
      <w:pPr>
        <w:rPr>
          <w:sz w:val="44"/>
          <w:szCs w:val="44"/>
        </w:rPr>
      </w:pPr>
      <w:r>
        <w:rPr>
          <w:rFonts w:hint="eastAsia" w:ascii="仿宋_GB2312"/>
          <w:sz w:val="28"/>
          <w:szCs w:val="28"/>
        </w:rPr>
        <w:t>税务登记证（副本）复印件</w:t>
      </w:r>
    </w:p>
    <w:p>
      <w:pPr>
        <w:jc w:val="center"/>
        <w:rPr>
          <w:sz w:val="44"/>
          <w:szCs w:val="44"/>
        </w:rPr>
      </w:pPr>
    </w:p>
    <w:p>
      <w:pPr>
        <w:jc w:val="center"/>
        <w:outlineLvl w:val="0"/>
        <w:rPr>
          <w:sz w:val="44"/>
          <w:szCs w:val="44"/>
        </w:rPr>
      </w:pPr>
      <w:bookmarkStart w:id="87" w:name="_Toc5051_WPSOffice_Level1"/>
      <w:bookmarkStart w:id="88" w:name="_Toc9988_WPSOffice_Level1"/>
      <w:bookmarkStart w:id="89" w:name="_Toc4616"/>
      <w:r>
        <w:rPr>
          <w:rFonts w:hint="eastAsia" w:ascii="仿宋_GB2312"/>
          <w:sz w:val="32"/>
          <w:szCs w:val="32"/>
        </w:rPr>
        <w:t>2、法定代表人授权委托书</w:t>
      </w:r>
      <w:bookmarkEnd w:id="87"/>
      <w:bookmarkEnd w:id="88"/>
      <w:bookmarkEnd w:id="89"/>
    </w:p>
    <w:p>
      <w:pPr>
        <w:spacing w:line="480" w:lineRule="exact"/>
        <w:ind w:firstLine="840" w:firstLineChars="300"/>
        <w:rPr>
          <w:sz w:val="28"/>
        </w:rPr>
      </w:pPr>
    </w:p>
    <w:p>
      <w:pPr>
        <w:spacing w:line="450" w:lineRule="exact"/>
        <w:ind w:firstLine="56" w:firstLineChars="20"/>
        <w:rPr>
          <w:rFonts w:ascii="仿宋_GB2312" w:hAnsi="宋体"/>
          <w:sz w:val="28"/>
          <w:szCs w:val="28"/>
        </w:rPr>
      </w:pPr>
      <w:r>
        <w:rPr>
          <w:rFonts w:ascii="仿宋_GB2312" w:hAnsi="宋体"/>
          <w:sz w:val="28"/>
          <w:szCs w:val="28"/>
        </w:rPr>
        <w:t xml:space="preserve">兹委派我单位 </w:t>
      </w:r>
      <w:r>
        <w:rPr>
          <w:rFonts w:hint="eastAsia" w:ascii="仿宋_GB2312" w:hAnsi="宋体"/>
          <w:sz w:val="28"/>
          <w:szCs w:val="28"/>
        </w:rPr>
        <w:t xml:space="preserve">       </w:t>
      </w:r>
      <w:r>
        <w:rPr>
          <w:rFonts w:ascii="仿宋_GB2312" w:hAnsi="宋体"/>
          <w:sz w:val="28"/>
          <w:szCs w:val="28"/>
        </w:rPr>
        <w:t xml:space="preserve">（姓名）参加贵单位组织的          </w:t>
      </w:r>
      <w:r>
        <w:rPr>
          <w:rFonts w:hint="eastAsia" w:ascii="仿宋_GB2312" w:hAnsi="宋体"/>
          <w:sz w:val="28"/>
          <w:szCs w:val="28"/>
        </w:rPr>
        <w:t xml:space="preserve">        </w:t>
      </w:r>
      <w:r>
        <w:rPr>
          <w:rFonts w:ascii="仿宋_GB2312" w:hAnsi="宋体"/>
          <w:sz w:val="28"/>
          <w:szCs w:val="28"/>
        </w:rPr>
        <w:t>采购活动（项目编号：</w:t>
      </w:r>
      <w:r>
        <w:rPr>
          <w:rFonts w:hint="eastAsia" w:ascii="仿宋_GB2312" w:hAnsi="宋体"/>
          <w:sz w:val="28"/>
          <w:szCs w:val="28"/>
        </w:rPr>
        <w:t xml:space="preserve">          </w:t>
      </w:r>
      <w:r>
        <w:rPr>
          <w:rFonts w:ascii="仿宋_GB2312" w:hAnsi="宋体"/>
          <w:sz w:val="28"/>
          <w:szCs w:val="28"/>
        </w:rPr>
        <w:t>），委派人全权代表我单位处理本次竞标中的有关事务，并签署全部有关文件、协议及合同。我单位对委托代理人签署内容负全部责任。</w:t>
      </w:r>
    </w:p>
    <w:p>
      <w:pPr>
        <w:spacing w:line="450" w:lineRule="exact"/>
        <w:ind w:firstLine="56" w:firstLineChars="20"/>
        <w:rPr>
          <w:rFonts w:ascii="仿宋_GB2312" w:hAnsi="宋体"/>
          <w:sz w:val="28"/>
          <w:szCs w:val="28"/>
        </w:rPr>
      </w:pPr>
      <w:r>
        <w:rPr>
          <w:rFonts w:ascii="仿宋_GB2312" w:hAnsi="宋体"/>
          <w:sz w:val="28"/>
          <w:szCs w:val="28"/>
        </w:rPr>
        <w:t>本授权书于签字盖章后生效，在贵</w:t>
      </w:r>
      <w:r>
        <w:rPr>
          <w:rFonts w:hint="eastAsia" w:ascii="仿宋_GB2312" w:hAnsi="宋体"/>
          <w:sz w:val="28"/>
          <w:szCs w:val="28"/>
        </w:rPr>
        <w:t>公司</w:t>
      </w:r>
      <w:r>
        <w:rPr>
          <w:rFonts w:ascii="仿宋_GB2312" w:hAnsi="宋体"/>
          <w:sz w:val="28"/>
          <w:szCs w:val="28"/>
        </w:rPr>
        <w:t>收到撤消授权的书面通知以前，本授权书一直有效。被授权人签署的所有文件不因授权的撤消而失效。</w:t>
      </w:r>
    </w:p>
    <w:p>
      <w:pPr>
        <w:spacing w:line="450" w:lineRule="exact"/>
        <w:ind w:firstLine="56" w:firstLineChars="20"/>
        <w:rPr>
          <w:rFonts w:ascii="仿宋_GB2312" w:hAnsi="宋体"/>
          <w:sz w:val="28"/>
          <w:szCs w:val="28"/>
        </w:rPr>
      </w:pPr>
      <w:r>
        <w:rPr>
          <w:rFonts w:ascii="仿宋_GB2312" w:hAnsi="宋体"/>
          <w:sz w:val="28"/>
          <w:szCs w:val="28"/>
        </w:rPr>
        <w:t>委托代理人无转委权。</w:t>
      </w:r>
    </w:p>
    <w:p>
      <w:pPr>
        <w:spacing w:line="450" w:lineRule="exact"/>
        <w:ind w:firstLine="56" w:firstLineChars="20"/>
        <w:rPr>
          <w:rFonts w:ascii="仿宋_GB2312" w:hAnsi="宋体"/>
          <w:sz w:val="28"/>
          <w:szCs w:val="28"/>
        </w:rPr>
      </w:pPr>
      <w:r>
        <w:rPr>
          <w:rFonts w:ascii="仿宋_GB2312" w:hAnsi="宋体"/>
          <w:sz w:val="28"/>
          <w:szCs w:val="28"/>
        </w:rPr>
        <w:t>特此委托。</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pict>
          <v:shape id="Text Box 2" o:spid="_x0000_s1026" o:spt="202" type="#_x0000_t202" style="position:absolute;left:0pt;margin-left:270pt;margin-top:9.6pt;height:150pt;width:198pt;z-index:251658240;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r>
        <w:rPr>
          <w:rFonts w:ascii="仿宋_GB2312" w:hAnsi="宋体"/>
          <w:sz w:val="28"/>
          <w:szCs w:val="28"/>
        </w:rPr>
        <w:pict>
          <v:shape id="Text Box 3" o:spid="_x0000_s1027" o:spt="202" type="#_x0000_t202" style="position:absolute;left:0pt;margin-left:-8.95pt;margin-top:8.6pt;height:150pt;width:207pt;z-index:251657216;mso-width-relative:page;mso-height-relative:page;" coordsize="21600,21600">
            <v:path/>
            <v:fill focussize="0,0"/>
            <v:stroke joinstyle="miter"/>
            <v:imagedata o:title=""/>
            <o:lock v:ext="edit"/>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竞标人：（公章）</w:t>
      </w:r>
    </w:p>
    <w:p>
      <w:pPr>
        <w:spacing w:line="450" w:lineRule="exact"/>
        <w:ind w:firstLine="56" w:firstLineChars="20"/>
        <w:rPr>
          <w:rFonts w:ascii="仿宋_GB2312" w:hAnsi="宋体"/>
          <w:sz w:val="28"/>
          <w:szCs w:val="28"/>
        </w:rPr>
      </w:pPr>
    </w:p>
    <w:p>
      <w:pPr>
        <w:spacing w:line="450" w:lineRule="exact"/>
        <w:ind w:firstLine="56" w:firstLineChars="20"/>
        <w:rPr>
          <w:rFonts w:ascii="仿宋_GB2312" w:hAnsi="宋体"/>
          <w:sz w:val="28"/>
          <w:szCs w:val="28"/>
        </w:rPr>
      </w:pPr>
      <w:r>
        <w:rPr>
          <w:rFonts w:ascii="仿宋_GB2312" w:hAnsi="宋体"/>
          <w:sz w:val="28"/>
          <w:szCs w:val="28"/>
        </w:rPr>
        <w:t>法定代表人：（签字）</w:t>
      </w:r>
    </w:p>
    <w:p>
      <w:pPr>
        <w:spacing w:line="450" w:lineRule="exact"/>
        <w:ind w:firstLine="56" w:firstLineChars="20"/>
        <w:rPr>
          <w:rFonts w:ascii="仿宋_GB2312" w:hAnsi="宋体"/>
          <w:sz w:val="28"/>
          <w:szCs w:val="28"/>
        </w:rPr>
      </w:pPr>
      <w:r>
        <w:rPr>
          <w:rFonts w:ascii="仿宋_GB2312" w:hAnsi="宋体"/>
          <w:sz w:val="28"/>
          <w:szCs w:val="28"/>
        </w:rPr>
        <w:t xml:space="preserve">                                   年   月   日</w:t>
      </w:r>
    </w:p>
    <w:p>
      <w:pPr>
        <w:jc w:val="center"/>
        <w:rPr>
          <w:rFonts w:ascii="仿宋_GB2312"/>
          <w:sz w:val="32"/>
          <w:szCs w:val="32"/>
        </w:rPr>
      </w:pPr>
    </w:p>
    <w:p>
      <w:pPr>
        <w:jc w:val="center"/>
        <w:outlineLvl w:val="0"/>
        <w:rPr>
          <w:rFonts w:ascii="仿宋_GB2312"/>
          <w:sz w:val="32"/>
          <w:szCs w:val="32"/>
        </w:rPr>
      </w:pPr>
      <w:bookmarkStart w:id="90" w:name="_Toc30704_WPSOffice_Level1"/>
      <w:bookmarkStart w:id="91" w:name="_Toc1622_WPSOffice_Level1"/>
      <w:bookmarkStart w:id="92" w:name="_Toc29466"/>
      <w:r>
        <w:rPr>
          <w:rFonts w:hint="eastAsia" w:ascii="仿宋_GB2312"/>
          <w:sz w:val="32"/>
          <w:szCs w:val="32"/>
        </w:rPr>
        <w:t>3、投标报价表</w:t>
      </w:r>
      <w:bookmarkEnd w:id="90"/>
      <w:bookmarkEnd w:id="91"/>
      <w:bookmarkEnd w:id="92"/>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1"/>
        <w:gridCol w:w="1661"/>
        <w:gridCol w:w="1661"/>
        <w:gridCol w:w="1661"/>
        <w:gridCol w:w="1662"/>
        <w:gridCol w:w="1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2" w:type="dxa"/>
          </w:tcPr>
          <w:p>
            <w:pPr>
              <w:rPr>
                <w:rFonts w:ascii="仿宋_GB2312"/>
                <w:sz w:val="32"/>
                <w:szCs w:val="32"/>
              </w:rPr>
            </w:pPr>
          </w:p>
        </w:tc>
        <w:tc>
          <w:tcPr>
            <w:tcW w:w="1662" w:type="dxa"/>
          </w:tcPr>
          <w:p>
            <w:pPr>
              <w:rPr>
                <w:rFonts w:ascii="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2" w:type="dxa"/>
          </w:tcPr>
          <w:p>
            <w:pPr>
              <w:rPr>
                <w:rFonts w:ascii="仿宋_GB2312"/>
                <w:sz w:val="32"/>
                <w:szCs w:val="32"/>
              </w:rPr>
            </w:pPr>
          </w:p>
        </w:tc>
        <w:tc>
          <w:tcPr>
            <w:tcW w:w="1662" w:type="dxa"/>
          </w:tcPr>
          <w:p>
            <w:pPr>
              <w:rPr>
                <w:rFonts w:ascii="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2" w:type="dxa"/>
          </w:tcPr>
          <w:p>
            <w:pPr>
              <w:rPr>
                <w:rFonts w:ascii="仿宋_GB2312"/>
                <w:sz w:val="32"/>
                <w:szCs w:val="32"/>
              </w:rPr>
            </w:pPr>
          </w:p>
        </w:tc>
        <w:tc>
          <w:tcPr>
            <w:tcW w:w="1662" w:type="dxa"/>
          </w:tcPr>
          <w:p>
            <w:pPr>
              <w:rPr>
                <w:rFonts w:ascii="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1" w:type="dxa"/>
          </w:tcPr>
          <w:p>
            <w:pPr>
              <w:rPr>
                <w:rFonts w:ascii="仿宋_GB2312"/>
                <w:sz w:val="32"/>
                <w:szCs w:val="32"/>
              </w:rPr>
            </w:pPr>
          </w:p>
        </w:tc>
        <w:tc>
          <w:tcPr>
            <w:tcW w:w="1662" w:type="dxa"/>
          </w:tcPr>
          <w:p>
            <w:pPr>
              <w:rPr>
                <w:rFonts w:ascii="仿宋_GB2312"/>
                <w:sz w:val="32"/>
                <w:szCs w:val="32"/>
              </w:rPr>
            </w:pPr>
          </w:p>
        </w:tc>
        <w:tc>
          <w:tcPr>
            <w:tcW w:w="1662" w:type="dxa"/>
          </w:tcPr>
          <w:p>
            <w:pPr>
              <w:rPr>
                <w:rFonts w:ascii="仿宋_GB2312"/>
                <w:sz w:val="32"/>
                <w:szCs w:val="32"/>
              </w:rPr>
            </w:pPr>
          </w:p>
        </w:tc>
      </w:tr>
    </w:tbl>
    <w:p>
      <w:pPr>
        <w:rPr>
          <w:rFonts w:ascii="仿宋_GB2312"/>
          <w:sz w:val="32"/>
          <w:szCs w:val="32"/>
        </w:rPr>
      </w:pPr>
    </w:p>
    <w:p>
      <w:pPr>
        <w:rPr>
          <w:rFonts w:ascii="仿宋_GB2312"/>
          <w:sz w:val="32"/>
          <w:szCs w:val="32"/>
        </w:rPr>
      </w:pPr>
      <w:r>
        <w:rPr>
          <w:rFonts w:hint="eastAsia" w:ascii="仿宋_GB2312"/>
          <w:sz w:val="32"/>
          <w:szCs w:val="32"/>
        </w:rPr>
        <w:t>投标人法定代表人（或法定代表授权人）签字：</w:t>
      </w:r>
    </w:p>
    <w:p>
      <w:pPr>
        <w:ind w:right="640"/>
        <w:rPr>
          <w:rFonts w:ascii="仿宋_GB2312"/>
          <w:sz w:val="32"/>
          <w:szCs w:val="32"/>
        </w:rPr>
      </w:pPr>
      <w:r>
        <w:rPr>
          <w:rFonts w:hint="eastAsia" w:ascii="仿宋_GB2312"/>
          <w:sz w:val="32"/>
          <w:szCs w:val="32"/>
        </w:rPr>
        <w:t>投标人（签章）：</w:t>
      </w:r>
    </w:p>
    <w:p>
      <w:pPr>
        <w:ind w:right="800"/>
        <w:rPr>
          <w:rFonts w:ascii="仿宋_GB2312"/>
          <w:sz w:val="32"/>
          <w:szCs w:val="32"/>
        </w:rPr>
      </w:pPr>
      <w:r>
        <w:rPr>
          <w:rFonts w:hint="eastAsia" w:ascii="仿宋_GB2312"/>
          <w:sz w:val="32"/>
          <w:szCs w:val="32"/>
        </w:rPr>
        <w:t>年    月    日</w:t>
      </w:r>
    </w:p>
    <w:p>
      <w:pPr>
        <w:jc w:val="center"/>
        <w:rPr>
          <w:rFonts w:ascii="仿宋_GB2312"/>
          <w:sz w:val="32"/>
          <w:szCs w:val="32"/>
        </w:rPr>
      </w:pPr>
    </w:p>
    <w:p>
      <w:pPr>
        <w:jc w:val="center"/>
        <w:rPr>
          <w:rFonts w:ascii="仿宋_GB2312"/>
          <w:sz w:val="32"/>
          <w:szCs w:val="32"/>
        </w:rPr>
      </w:pPr>
    </w:p>
    <w:p>
      <w:pPr>
        <w:rPr>
          <w:rFonts w:ascii="仿宋_GB2312"/>
          <w:sz w:val="32"/>
          <w:szCs w:val="32"/>
        </w:rPr>
      </w:pPr>
      <w:bookmarkStart w:id="93" w:name="_Toc30292_WPSOffice_Level1"/>
      <w:r>
        <w:rPr>
          <w:rFonts w:hint="eastAsia" w:ascii="仿宋_GB2312"/>
          <w:sz w:val="32"/>
          <w:szCs w:val="32"/>
        </w:rPr>
        <w:t>服务承诺（格式自定）</w:t>
      </w:r>
      <w:bookmarkEnd w:id="93"/>
    </w:p>
    <w:p>
      <w:pPr>
        <w:rPr>
          <w:rFonts w:ascii="仿宋_GB2312"/>
          <w:sz w:val="32"/>
          <w:szCs w:val="32"/>
        </w:rPr>
      </w:pPr>
      <w:bookmarkStart w:id="94" w:name="_Toc588_WPSOffice_Level1"/>
      <w:r>
        <w:rPr>
          <w:rFonts w:hint="eastAsia" w:ascii="仿宋_GB2312"/>
          <w:sz w:val="32"/>
          <w:szCs w:val="32"/>
        </w:rPr>
        <w:t>企业资格等级证书</w:t>
      </w:r>
      <w:bookmarkEnd w:id="94"/>
    </w:p>
    <w:p>
      <w:pPr>
        <w:rPr>
          <w:rFonts w:ascii="仿宋_GB2312"/>
          <w:sz w:val="32"/>
          <w:szCs w:val="32"/>
        </w:rPr>
      </w:pPr>
      <w:bookmarkStart w:id="95" w:name="_Toc28780_WPSOffice_Level1"/>
      <w:r>
        <w:rPr>
          <w:rFonts w:hint="eastAsia" w:ascii="仿宋_GB2312"/>
          <w:sz w:val="32"/>
          <w:szCs w:val="32"/>
        </w:rPr>
        <w:t>人员技术职称证书及工作业绩</w:t>
      </w:r>
      <w:bookmarkEnd w:id="95"/>
    </w:p>
    <w:p>
      <w:pPr>
        <w:rPr>
          <w:rFonts w:ascii="仿宋_GB2312"/>
          <w:sz w:val="32"/>
          <w:szCs w:val="32"/>
        </w:rPr>
      </w:pPr>
      <w:bookmarkStart w:id="96" w:name="_Toc14760_WPSOffice_Level1"/>
      <w:r>
        <w:rPr>
          <w:rFonts w:hint="eastAsia" w:ascii="仿宋_GB2312"/>
          <w:sz w:val="32"/>
          <w:szCs w:val="32"/>
        </w:rPr>
        <w:t>企业资信证明</w:t>
      </w:r>
      <w:bookmarkEnd w:id="96"/>
    </w:p>
    <w:p>
      <w:pPr>
        <w:rPr>
          <w:rFonts w:ascii="仿宋_GB2312"/>
          <w:sz w:val="32"/>
          <w:szCs w:val="32"/>
        </w:rPr>
      </w:pPr>
      <w:bookmarkStart w:id="97" w:name="_Toc1551_WPSOffice_Level1"/>
      <w:r>
        <w:rPr>
          <w:rFonts w:hint="eastAsia" w:ascii="仿宋_GB2312"/>
          <w:sz w:val="32"/>
          <w:szCs w:val="32"/>
        </w:rPr>
        <w:t>业绩证明材</w:t>
      </w:r>
      <w:bookmarkEnd w:id="97"/>
    </w:p>
    <w:sectPr>
      <w:footerReference r:id="rId5" w:type="first"/>
      <w:headerReference r:id="rId3" w:type="default"/>
      <w:footerReference r:id="rId4" w:type="default"/>
      <w:pgSz w:w="11906" w:h="16838"/>
      <w:pgMar w:top="1440" w:right="1077" w:bottom="1440" w:left="1077" w:header="851" w:footer="992" w:gutter="0"/>
      <w:pgBorders w:display="firstPage" w:offsetFrom="page">
        <w:top w:val="single" w:color="auto" w:sz="4" w:space="24"/>
        <w:left w:val="single" w:color="auto" w:sz="4" w:space="24"/>
        <w:bottom w:val="single" w:color="auto" w:sz="4" w:space="24"/>
        <w:right w:val="single" w:color="auto" w:sz="4" w:space="24"/>
      </w:pgBorders>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Verdana">
    <w:panose1 w:val="020B0604030504040204"/>
    <w:charset w:val="00"/>
    <w:family w:val="swiss"/>
    <w:pitch w:val="default"/>
    <w:sig w:usb0="A10006FF" w:usb1="4000205B" w:usb2="00000010" w:usb3="00000000" w:csb0="2000019F" w:csb1="00000000"/>
  </w:font>
  <w:font w:name="方正兰亭黑简体">
    <w:altName w:val="黑体"/>
    <w:panose1 w:val="00000000000000000000"/>
    <w:charset w:val="00"/>
    <w:family w:val="auto"/>
    <w:pitch w:val="default"/>
    <w:sig w:usb0="00000000" w:usb1="00000000" w:usb2="00000000"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49" o:spid="_x0000_s2049" o:spt="202" type="#_x0000_t202" style="position:absolute;left:0pt;margin-top:0pt;height:144pt;width:144pt;mso-position-horizontal:inside;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13</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pict>
        <v:shape id="_x0000_s2050" o:spid="_x0000_s2050" o:spt="202" type="#_x0000_t202" style="position:absolute;left:0pt;margin-top:0pt;height:144pt;width:144pt;mso-position-horizontal:inside;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 xml:space="preserve"> 页 共 </w:t>
                </w:r>
                <w:r>
                  <w:fldChar w:fldCharType="begin"/>
                </w:r>
                <w:r>
                  <w:instrText xml:space="preserve"> NUMPAGES  \* MERGEFORMAT </w:instrText>
                </w:r>
                <w:r>
                  <w:fldChar w:fldCharType="separate"/>
                </w:r>
                <w:r>
                  <w:rPr>
                    <w:sz w:val="18"/>
                  </w:rPr>
                  <w:t>13</w:t>
                </w:r>
                <w:r>
                  <w:rPr>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sz w:val="21"/>
        <w:szCs w:val="21"/>
      </w:rPr>
    </w:pPr>
    <w:r>
      <w:rPr>
        <w:rFonts w:hint="eastAsia"/>
      </w:rPr>
      <w:t xml:space="preserve">                                                        </w:t>
    </w:r>
    <w:r>
      <w:rPr>
        <w:rFonts w:hint="eastAsia"/>
        <w:sz w:val="21"/>
        <w:szCs w:val="21"/>
      </w:rPr>
      <w:t>鄂尔多斯机场管理集团有限公司采购文件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7C0A9"/>
    <w:multiLevelType w:val="singleLevel"/>
    <w:tmpl w:val="8287C0A9"/>
    <w:lvl w:ilvl="0" w:tentative="0">
      <w:start w:val="2"/>
      <w:numFmt w:val="chineseCounting"/>
      <w:suff w:val="nothing"/>
      <w:lvlText w:val="（%1）"/>
      <w:lvlJc w:val="left"/>
      <w:rPr>
        <w:rFonts w:hint="eastAsia"/>
      </w:rPr>
    </w:lvl>
  </w:abstractNum>
  <w:abstractNum w:abstractNumId="1">
    <w:nsid w:val="BA7C56BE"/>
    <w:multiLevelType w:val="singleLevel"/>
    <w:tmpl w:val="BA7C56BE"/>
    <w:lvl w:ilvl="0" w:tentative="0">
      <w:start w:val="1"/>
      <w:numFmt w:val="decimal"/>
      <w:lvlText w:val="%1."/>
      <w:lvlJc w:val="left"/>
      <w:pPr>
        <w:ind w:left="425" w:hanging="425"/>
      </w:pPr>
      <w:rPr>
        <w:rFonts w:hint="default"/>
      </w:rPr>
    </w:lvl>
  </w:abstractNum>
  <w:abstractNum w:abstractNumId="2">
    <w:nsid w:val="32849F92"/>
    <w:multiLevelType w:val="singleLevel"/>
    <w:tmpl w:val="32849F92"/>
    <w:lvl w:ilvl="0" w:tentative="0">
      <w:start w:val="1"/>
      <w:numFmt w:val="decimal"/>
      <w:lvlText w:val="%1."/>
      <w:lvlJc w:val="left"/>
      <w:pPr>
        <w:ind w:left="425" w:hanging="425"/>
      </w:pPr>
      <w:rPr>
        <w:rFonts w:hint="default"/>
      </w:rPr>
    </w:lvl>
  </w:abstractNum>
  <w:abstractNum w:abstractNumId="3">
    <w:nsid w:val="399B474D"/>
    <w:multiLevelType w:val="singleLevel"/>
    <w:tmpl w:val="399B474D"/>
    <w:lvl w:ilvl="0" w:tentative="0">
      <w:start w:val="1"/>
      <w:numFmt w:val="decimal"/>
      <w:suff w:val="nothing"/>
      <w:lvlText w:val="%1．"/>
      <w:lvlJc w:val="left"/>
      <w:pPr>
        <w:ind w:left="0" w:firstLine="400"/>
      </w:pPr>
      <w:rPr>
        <w:rFonts w:hint="default"/>
      </w:rPr>
    </w:lvl>
  </w:abstractNum>
  <w:abstractNum w:abstractNumId="4">
    <w:nsid w:val="523A46BC"/>
    <w:multiLevelType w:val="multilevel"/>
    <w:tmpl w:val="523A46BC"/>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1"/>
  <w:bordersDoNotSurroundFooter w:val="1"/>
  <w:documentProtection w:enforcement="0"/>
  <w:defaultTabStop w:val="420"/>
  <w:drawingGridHorizontalSpacing w:val="105"/>
  <w:drawingGridVerticalSpacing w:val="156"/>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2"/>
  </w:compat>
  <w:rsids>
    <w:rsidRoot w:val="00172A27"/>
    <w:rsid w:val="00172A27"/>
    <w:rsid w:val="002335BF"/>
    <w:rsid w:val="003066DD"/>
    <w:rsid w:val="003B12EB"/>
    <w:rsid w:val="0042286F"/>
    <w:rsid w:val="004610B8"/>
    <w:rsid w:val="00614C84"/>
    <w:rsid w:val="00635D34"/>
    <w:rsid w:val="00643D95"/>
    <w:rsid w:val="006A6C02"/>
    <w:rsid w:val="006B737E"/>
    <w:rsid w:val="00787D9E"/>
    <w:rsid w:val="008E25DE"/>
    <w:rsid w:val="008E41C0"/>
    <w:rsid w:val="00AB577C"/>
    <w:rsid w:val="00B44D97"/>
    <w:rsid w:val="00B76E78"/>
    <w:rsid w:val="00BA6CDE"/>
    <w:rsid w:val="00CB3A2E"/>
    <w:rsid w:val="00CC55B6"/>
    <w:rsid w:val="00DD45F1"/>
    <w:rsid w:val="00F6224B"/>
    <w:rsid w:val="00FC6C7F"/>
    <w:rsid w:val="01CF16A2"/>
    <w:rsid w:val="01D10369"/>
    <w:rsid w:val="01DD1070"/>
    <w:rsid w:val="01F41DE1"/>
    <w:rsid w:val="02493E93"/>
    <w:rsid w:val="02A60024"/>
    <w:rsid w:val="031B48A2"/>
    <w:rsid w:val="036F5F25"/>
    <w:rsid w:val="037E6C83"/>
    <w:rsid w:val="04295E8D"/>
    <w:rsid w:val="04F6410E"/>
    <w:rsid w:val="05291032"/>
    <w:rsid w:val="054B4EA6"/>
    <w:rsid w:val="0561615F"/>
    <w:rsid w:val="0639329F"/>
    <w:rsid w:val="064E460B"/>
    <w:rsid w:val="06926E92"/>
    <w:rsid w:val="069278A4"/>
    <w:rsid w:val="07560E14"/>
    <w:rsid w:val="0A5A3A18"/>
    <w:rsid w:val="0A755DFB"/>
    <w:rsid w:val="0AE0468E"/>
    <w:rsid w:val="0B0658FE"/>
    <w:rsid w:val="0B8E3FFD"/>
    <w:rsid w:val="0C0E13CB"/>
    <w:rsid w:val="0C8B3F97"/>
    <w:rsid w:val="0DD47D16"/>
    <w:rsid w:val="0E0A5E52"/>
    <w:rsid w:val="0E7B6D1A"/>
    <w:rsid w:val="0EAB3CA1"/>
    <w:rsid w:val="0EC03FAC"/>
    <w:rsid w:val="0F651009"/>
    <w:rsid w:val="0F7A4936"/>
    <w:rsid w:val="0FAE5B2D"/>
    <w:rsid w:val="10A04A23"/>
    <w:rsid w:val="125F0F9A"/>
    <w:rsid w:val="12A41373"/>
    <w:rsid w:val="12BF207A"/>
    <w:rsid w:val="131A1736"/>
    <w:rsid w:val="139C309A"/>
    <w:rsid w:val="13D2778C"/>
    <w:rsid w:val="13EF5AE6"/>
    <w:rsid w:val="14C21AA6"/>
    <w:rsid w:val="15E0208F"/>
    <w:rsid w:val="167C708E"/>
    <w:rsid w:val="17720103"/>
    <w:rsid w:val="1818603F"/>
    <w:rsid w:val="184946BE"/>
    <w:rsid w:val="184D52B9"/>
    <w:rsid w:val="18BD3939"/>
    <w:rsid w:val="19357FA5"/>
    <w:rsid w:val="19EB7344"/>
    <w:rsid w:val="1C10339B"/>
    <w:rsid w:val="1C4F7372"/>
    <w:rsid w:val="1CEE560D"/>
    <w:rsid w:val="1DB32505"/>
    <w:rsid w:val="1DDA39C2"/>
    <w:rsid w:val="1E7C2006"/>
    <w:rsid w:val="1EB01372"/>
    <w:rsid w:val="1F207A60"/>
    <w:rsid w:val="1F580CEB"/>
    <w:rsid w:val="1FDF1B4C"/>
    <w:rsid w:val="20D61A76"/>
    <w:rsid w:val="20D97182"/>
    <w:rsid w:val="212E0140"/>
    <w:rsid w:val="218714B6"/>
    <w:rsid w:val="21945F7A"/>
    <w:rsid w:val="21C86FC0"/>
    <w:rsid w:val="22327BB9"/>
    <w:rsid w:val="238363E5"/>
    <w:rsid w:val="24425E1A"/>
    <w:rsid w:val="24502F08"/>
    <w:rsid w:val="24D42F00"/>
    <w:rsid w:val="254077F0"/>
    <w:rsid w:val="25520349"/>
    <w:rsid w:val="25C42AED"/>
    <w:rsid w:val="25D319E8"/>
    <w:rsid w:val="266F1430"/>
    <w:rsid w:val="26E6333C"/>
    <w:rsid w:val="2787489D"/>
    <w:rsid w:val="27967376"/>
    <w:rsid w:val="27C0793C"/>
    <w:rsid w:val="27F95699"/>
    <w:rsid w:val="28AD512D"/>
    <w:rsid w:val="28B47C47"/>
    <w:rsid w:val="29714CB4"/>
    <w:rsid w:val="299C4B16"/>
    <w:rsid w:val="299D35E1"/>
    <w:rsid w:val="29B66A4A"/>
    <w:rsid w:val="2A1C5D5F"/>
    <w:rsid w:val="2A523852"/>
    <w:rsid w:val="2B23079F"/>
    <w:rsid w:val="2B597C77"/>
    <w:rsid w:val="2B85655E"/>
    <w:rsid w:val="2BE67688"/>
    <w:rsid w:val="2C415B81"/>
    <w:rsid w:val="2DA17A8F"/>
    <w:rsid w:val="2DA80377"/>
    <w:rsid w:val="2E55390E"/>
    <w:rsid w:val="2E75188F"/>
    <w:rsid w:val="2F4E753E"/>
    <w:rsid w:val="2FA31517"/>
    <w:rsid w:val="2FF663B6"/>
    <w:rsid w:val="302029FF"/>
    <w:rsid w:val="30B12D4C"/>
    <w:rsid w:val="31165AE3"/>
    <w:rsid w:val="317B6558"/>
    <w:rsid w:val="31836529"/>
    <w:rsid w:val="32836B94"/>
    <w:rsid w:val="32B24F89"/>
    <w:rsid w:val="333E29F4"/>
    <w:rsid w:val="343F3332"/>
    <w:rsid w:val="34554506"/>
    <w:rsid w:val="352368B8"/>
    <w:rsid w:val="357C191F"/>
    <w:rsid w:val="35836C8A"/>
    <w:rsid w:val="36136836"/>
    <w:rsid w:val="368C026B"/>
    <w:rsid w:val="36FF542C"/>
    <w:rsid w:val="371F4BBF"/>
    <w:rsid w:val="378B421F"/>
    <w:rsid w:val="37911B51"/>
    <w:rsid w:val="37C3575B"/>
    <w:rsid w:val="37DE68EC"/>
    <w:rsid w:val="39481167"/>
    <w:rsid w:val="39D321EC"/>
    <w:rsid w:val="39F01FC5"/>
    <w:rsid w:val="3A070293"/>
    <w:rsid w:val="3A221B4D"/>
    <w:rsid w:val="3AA3001E"/>
    <w:rsid w:val="3AAD2B92"/>
    <w:rsid w:val="3AF84D35"/>
    <w:rsid w:val="3B9D64C7"/>
    <w:rsid w:val="3D0B0E4B"/>
    <w:rsid w:val="3D552A8E"/>
    <w:rsid w:val="3D591653"/>
    <w:rsid w:val="3D8601FC"/>
    <w:rsid w:val="3DC118B2"/>
    <w:rsid w:val="3DC26E94"/>
    <w:rsid w:val="3DDE3C4D"/>
    <w:rsid w:val="3E0F7F9F"/>
    <w:rsid w:val="3E492D45"/>
    <w:rsid w:val="3EA779EC"/>
    <w:rsid w:val="3EAA7659"/>
    <w:rsid w:val="425D4E0B"/>
    <w:rsid w:val="425F1847"/>
    <w:rsid w:val="43B42AFA"/>
    <w:rsid w:val="44124314"/>
    <w:rsid w:val="450822C8"/>
    <w:rsid w:val="46395582"/>
    <w:rsid w:val="463C7BF7"/>
    <w:rsid w:val="466922A5"/>
    <w:rsid w:val="467F1D4F"/>
    <w:rsid w:val="4748020E"/>
    <w:rsid w:val="477C0E63"/>
    <w:rsid w:val="47BF0ED6"/>
    <w:rsid w:val="47C17B40"/>
    <w:rsid w:val="47FD1AEC"/>
    <w:rsid w:val="482B3D91"/>
    <w:rsid w:val="487C2969"/>
    <w:rsid w:val="48845400"/>
    <w:rsid w:val="48C70CA7"/>
    <w:rsid w:val="48DF00C1"/>
    <w:rsid w:val="48E51FE7"/>
    <w:rsid w:val="49E930F6"/>
    <w:rsid w:val="4A0F34BB"/>
    <w:rsid w:val="4A1B39AB"/>
    <w:rsid w:val="4A252C7C"/>
    <w:rsid w:val="4A3547E7"/>
    <w:rsid w:val="4ADC1271"/>
    <w:rsid w:val="4B2F0183"/>
    <w:rsid w:val="4B386088"/>
    <w:rsid w:val="4B3E3514"/>
    <w:rsid w:val="4C115E37"/>
    <w:rsid w:val="4C6E7453"/>
    <w:rsid w:val="4D435897"/>
    <w:rsid w:val="4EDB3D61"/>
    <w:rsid w:val="510368EA"/>
    <w:rsid w:val="51B2598A"/>
    <w:rsid w:val="521C1606"/>
    <w:rsid w:val="52CE489A"/>
    <w:rsid w:val="535A35F5"/>
    <w:rsid w:val="536D46D1"/>
    <w:rsid w:val="53860986"/>
    <w:rsid w:val="53AF1159"/>
    <w:rsid w:val="53CE5806"/>
    <w:rsid w:val="53D43BA3"/>
    <w:rsid w:val="548C3128"/>
    <w:rsid w:val="55067DCF"/>
    <w:rsid w:val="551978E7"/>
    <w:rsid w:val="553826D4"/>
    <w:rsid w:val="56CD2574"/>
    <w:rsid w:val="57F90D7F"/>
    <w:rsid w:val="57FB5F60"/>
    <w:rsid w:val="581A4D67"/>
    <w:rsid w:val="58621685"/>
    <w:rsid w:val="599E26AE"/>
    <w:rsid w:val="59A40F93"/>
    <w:rsid w:val="5A3D717A"/>
    <w:rsid w:val="5A47434B"/>
    <w:rsid w:val="5AF00519"/>
    <w:rsid w:val="5BC66527"/>
    <w:rsid w:val="5BF017B0"/>
    <w:rsid w:val="5C76752B"/>
    <w:rsid w:val="5C9122CC"/>
    <w:rsid w:val="5CFE7888"/>
    <w:rsid w:val="5D527893"/>
    <w:rsid w:val="5DB07FF6"/>
    <w:rsid w:val="5DC33D0F"/>
    <w:rsid w:val="5DE81B2B"/>
    <w:rsid w:val="5DF86F35"/>
    <w:rsid w:val="5E784A9A"/>
    <w:rsid w:val="5EB17639"/>
    <w:rsid w:val="60B16075"/>
    <w:rsid w:val="60E034B8"/>
    <w:rsid w:val="61327A44"/>
    <w:rsid w:val="618F594D"/>
    <w:rsid w:val="624038C7"/>
    <w:rsid w:val="62986B23"/>
    <w:rsid w:val="631116CD"/>
    <w:rsid w:val="631B5653"/>
    <w:rsid w:val="63775281"/>
    <w:rsid w:val="640915E6"/>
    <w:rsid w:val="648171A6"/>
    <w:rsid w:val="64F30DF4"/>
    <w:rsid w:val="6508524F"/>
    <w:rsid w:val="676E0DA0"/>
    <w:rsid w:val="676E531D"/>
    <w:rsid w:val="67E515CE"/>
    <w:rsid w:val="6B417F49"/>
    <w:rsid w:val="6B577491"/>
    <w:rsid w:val="6BC27A72"/>
    <w:rsid w:val="6BD15341"/>
    <w:rsid w:val="6E894EAE"/>
    <w:rsid w:val="6FBF1E7B"/>
    <w:rsid w:val="70781C43"/>
    <w:rsid w:val="722D6021"/>
    <w:rsid w:val="726A7D38"/>
    <w:rsid w:val="72B71B06"/>
    <w:rsid w:val="732E6A7F"/>
    <w:rsid w:val="73377555"/>
    <w:rsid w:val="73C01D86"/>
    <w:rsid w:val="73FE3025"/>
    <w:rsid w:val="744A3938"/>
    <w:rsid w:val="773150EC"/>
    <w:rsid w:val="77A307F6"/>
    <w:rsid w:val="787C13F0"/>
    <w:rsid w:val="78B51B2D"/>
    <w:rsid w:val="78D353B3"/>
    <w:rsid w:val="793804E5"/>
    <w:rsid w:val="796A732A"/>
    <w:rsid w:val="7A892618"/>
    <w:rsid w:val="7B4D2C4B"/>
    <w:rsid w:val="7B5376FB"/>
    <w:rsid w:val="7B6E370C"/>
    <w:rsid w:val="7B827149"/>
    <w:rsid w:val="7DBE43CB"/>
    <w:rsid w:val="7DF633CE"/>
    <w:rsid w:val="7E81035E"/>
    <w:rsid w:val="7F57625E"/>
    <w:rsid w:val="7F6D7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pPr>
    <w:rPr>
      <w:rFonts w:ascii="Calibri" w:hAnsi="Calibri" w:eastAsia="仿宋_GB2312" w:cs="Times New Roman"/>
      <w:kern w:val="2"/>
      <w:sz w:val="24"/>
      <w:szCs w:val="22"/>
      <w:lang w:val="en-US" w:eastAsia="zh-CN" w:bidi="ar-SA"/>
    </w:rPr>
  </w:style>
  <w:style w:type="paragraph" w:styleId="3">
    <w:name w:val="heading 1"/>
    <w:basedOn w:val="1"/>
    <w:next w:val="1"/>
    <w:link w:val="32"/>
    <w:qFormat/>
    <w:uiPriority w:val="0"/>
    <w:pPr>
      <w:keepNext/>
      <w:keepLines/>
      <w:spacing w:line="578" w:lineRule="auto"/>
      <w:jc w:val="center"/>
      <w:outlineLvl w:val="0"/>
    </w:pPr>
    <w:rPr>
      <w:rFonts w:ascii="Times New Roman" w:hAnsi="Times New Roman"/>
      <w:b/>
      <w:bCs/>
      <w:kern w:val="44"/>
      <w:sz w:val="36"/>
      <w:szCs w:val="44"/>
    </w:rPr>
  </w:style>
  <w:style w:type="paragraph" w:styleId="4">
    <w:name w:val="heading 2"/>
    <w:basedOn w:val="1"/>
    <w:next w:val="1"/>
    <w:link w:val="20"/>
    <w:qFormat/>
    <w:uiPriority w:val="0"/>
    <w:pPr>
      <w:keepNext/>
      <w:keepLines/>
      <w:spacing w:line="416" w:lineRule="auto"/>
      <w:outlineLvl w:val="1"/>
    </w:pPr>
    <w:rPr>
      <w:rFonts w:ascii="Cambria" w:hAnsi="Cambria"/>
      <w:b/>
      <w:bCs/>
      <w:sz w:val="32"/>
      <w:szCs w:val="32"/>
    </w:rPr>
  </w:style>
  <w:style w:type="paragraph" w:styleId="5">
    <w:name w:val="heading 3"/>
    <w:basedOn w:val="1"/>
    <w:next w:val="1"/>
    <w:link w:val="19"/>
    <w:qFormat/>
    <w:uiPriority w:val="0"/>
    <w:pPr>
      <w:keepNext/>
      <w:keepLines/>
      <w:spacing w:before="260" w:after="260" w:line="416" w:lineRule="auto"/>
      <w:jc w:val="center"/>
      <w:outlineLvl w:val="2"/>
    </w:pPr>
    <w:rPr>
      <w:b/>
      <w:bCs/>
      <w:sz w:val="30"/>
      <w:szCs w:val="32"/>
    </w:rPr>
  </w:style>
  <w:style w:type="character" w:default="1" w:styleId="16">
    <w:name w:val="Default Paragraph Font"/>
    <w:semiHidden/>
    <w:unhideWhenUsed/>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1"/>
    <w:qFormat/>
    <w:uiPriority w:val="0"/>
    <w:pPr>
      <w:spacing w:after="120"/>
      <w:jc w:val="both"/>
    </w:pPr>
    <w:rPr>
      <w:rFonts w:eastAsia="宋体"/>
      <w:sz w:val="21"/>
    </w:rPr>
  </w:style>
  <w:style w:type="paragraph" w:styleId="6">
    <w:name w:val="toc 3"/>
    <w:basedOn w:val="1"/>
    <w:next w:val="1"/>
    <w:uiPriority w:val="0"/>
    <w:pPr>
      <w:ind w:left="840" w:leftChars="400"/>
    </w:pPr>
  </w:style>
  <w:style w:type="paragraph" w:styleId="7">
    <w:name w:val="Plain Text"/>
    <w:basedOn w:val="1"/>
    <w:uiPriority w:val="0"/>
    <w:rPr>
      <w:rFonts w:ascii="宋体" w:hAnsi="Courier New"/>
      <w:kern w:val="0"/>
    </w:rPr>
  </w:style>
  <w:style w:type="paragraph" w:styleId="8">
    <w:name w:val="Balloon Text"/>
    <w:basedOn w:val="1"/>
    <w:link w:val="40"/>
    <w:uiPriority w:val="0"/>
    <w:rPr>
      <w:rFonts w:ascii="Times New Roman" w:hAnsi="Times New Roman" w:eastAsia="宋体"/>
      <w:kern w:val="0"/>
      <w:sz w:val="18"/>
      <w:szCs w:val="18"/>
    </w:rPr>
  </w:style>
  <w:style w:type="paragraph" w:styleId="9">
    <w:name w:val="footer"/>
    <w:basedOn w:val="1"/>
    <w:link w:val="36"/>
    <w:uiPriority w:val="0"/>
    <w:pPr>
      <w:tabs>
        <w:tab w:val="center" w:pos="4153"/>
        <w:tab w:val="right" w:pos="8306"/>
      </w:tabs>
      <w:snapToGrid w:val="0"/>
    </w:pPr>
    <w:rPr>
      <w:rFonts w:ascii="Times New Roman" w:hAnsi="Times New Roman" w:eastAsia="宋体"/>
      <w:kern w:val="0"/>
      <w:sz w:val="18"/>
      <w:szCs w:val="18"/>
    </w:rPr>
  </w:style>
  <w:style w:type="paragraph" w:styleId="10">
    <w:name w:val="header"/>
    <w:basedOn w:val="1"/>
    <w:link w:val="35"/>
    <w:uiPriority w:val="0"/>
    <w:pPr>
      <w:pBdr>
        <w:bottom w:val="single" w:color="auto" w:sz="6" w:space="1"/>
      </w:pBdr>
      <w:tabs>
        <w:tab w:val="center" w:pos="4153"/>
        <w:tab w:val="right" w:pos="8306"/>
      </w:tabs>
      <w:snapToGrid w:val="0"/>
      <w:jc w:val="center"/>
    </w:pPr>
    <w:rPr>
      <w:rFonts w:ascii="Times New Roman" w:hAnsi="Times New Roman" w:eastAsia="宋体"/>
      <w:kern w:val="0"/>
      <w:sz w:val="18"/>
      <w:szCs w:val="18"/>
    </w:rPr>
  </w:style>
  <w:style w:type="paragraph" w:styleId="11">
    <w:name w:val="toc 1"/>
    <w:basedOn w:val="1"/>
    <w:next w:val="1"/>
    <w:uiPriority w:val="0"/>
  </w:style>
  <w:style w:type="paragraph" w:styleId="12">
    <w:name w:val="toc 2"/>
    <w:basedOn w:val="1"/>
    <w:next w:val="1"/>
    <w:uiPriority w:val="0"/>
    <w:pPr>
      <w:ind w:left="420" w:leftChars="200"/>
    </w:pPr>
  </w:style>
  <w:style w:type="paragraph" w:styleId="13">
    <w:name w:val="Normal (Web)"/>
    <w:basedOn w:val="1"/>
    <w:unhideWhenUsed/>
    <w:uiPriority w:val="99"/>
    <w:pPr>
      <w:widowControl/>
      <w:spacing w:before="100" w:beforeAutospacing="1" w:after="100" w:afterAutospacing="1"/>
    </w:pPr>
    <w:rPr>
      <w:rFonts w:ascii="宋体" w:hAnsi="宋体" w:eastAsia="宋体" w:cs="宋体"/>
      <w:kern w:val="0"/>
      <w:szCs w:val="24"/>
    </w:rPr>
  </w:style>
  <w:style w:type="table" w:styleId="15">
    <w:name w:val="Table Grid"/>
    <w:basedOn w:val="14"/>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Strong"/>
    <w:qFormat/>
    <w:uiPriority w:val="0"/>
    <w:rPr>
      <w:rFonts w:ascii="Verdana" w:hAnsi="Verdana"/>
      <w:b/>
      <w:bCs/>
      <w:kern w:val="0"/>
      <w:sz w:val="20"/>
      <w:szCs w:val="20"/>
      <w:lang w:eastAsia="en-US"/>
    </w:rPr>
  </w:style>
  <w:style w:type="character" w:styleId="18">
    <w:name w:val="Hyperlink"/>
    <w:uiPriority w:val="0"/>
    <w:rPr>
      <w:color w:val="0000FF"/>
      <w:u w:val="single"/>
    </w:rPr>
  </w:style>
  <w:style w:type="character" w:customStyle="1" w:styleId="19">
    <w:name w:val="标题 3 Char"/>
    <w:link w:val="5"/>
    <w:uiPriority w:val="0"/>
    <w:rPr>
      <w:rFonts w:ascii="Calibri" w:hAnsi="Calibri" w:eastAsia="仿宋_GB2312"/>
      <w:b/>
      <w:bCs/>
      <w:kern w:val="2"/>
      <w:sz w:val="30"/>
      <w:szCs w:val="32"/>
    </w:rPr>
  </w:style>
  <w:style w:type="character" w:customStyle="1" w:styleId="20">
    <w:name w:val="标题 2 Char"/>
    <w:link w:val="4"/>
    <w:uiPriority w:val="0"/>
    <w:rPr>
      <w:rFonts w:ascii="Cambria" w:hAnsi="Cambria" w:eastAsia="仿宋_GB2312"/>
      <w:b/>
      <w:bCs/>
      <w:kern w:val="2"/>
      <w:sz w:val="32"/>
      <w:szCs w:val="32"/>
    </w:rPr>
  </w:style>
  <w:style w:type="character" w:customStyle="1" w:styleId="21">
    <w:name w:val="页码1"/>
    <w:basedOn w:val="16"/>
    <w:uiPriority w:val="0"/>
  </w:style>
  <w:style w:type="character" w:customStyle="1" w:styleId="22">
    <w:name w:val="font11"/>
    <w:basedOn w:val="16"/>
    <w:uiPriority w:val="0"/>
    <w:rPr>
      <w:rFonts w:hint="eastAsia" w:ascii="宋体" w:hAnsi="宋体" w:eastAsia="宋体" w:cs="宋体"/>
      <w:color w:val="000000"/>
      <w:sz w:val="20"/>
      <w:szCs w:val="20"/>
      <w:u w:val="none"/>
    </w:rPr>
  </w:style>
  <w:style w:type="character" w:customStyle="1" w:styleId="23">
    <w:name w:val="正文文本缩进 2 Char"/>
    <w:link w:val="24"/>
    <w:uiPriority w:val="0"/>
    <w:rPr>
      <w:rFonts w:ascii="Calibri" w:hAnsi="Calibri" w:eastAsia="仿宋_GB2312"/>
      <w:kern w:val="2"/>
      <w:sz w:val="24"/>
      <w:szCs w:val="22"/>
    </w:rPr>
  </w:style>
  <w:style w:type="paragraph" w:customStyle="1" w:styleId="24">
    <w:name w:val="正文文本缩进 21"/>
    <w:basedOn w:val="1"/>
    <w:link w:val="23"/>
    <w:uiPriority w:val="0"/>
    <w:pPr>
      <w:spacing w:after="120" w:line="480" w:lineRule="auto"/>
      <w:ind w:left="420" w:leftChars="200"/>
    </w:pPr>
  </w:style>
  <w:style w:type="character" w:customStyle="1" w:styleId="25">
    <w:name w:val="font41"/>
    <w:basedOn w:val="16"/>
    <w:uiPriority w:val="0"/>
    <w:rPr>
      <w:rFonts w:hint="eastAsia" w:ascii="宋体" w:hAnsi="宋体" w:eastAsia="宋体" w:cs="宋体"/>
      <w:color w:val="000000"/>
      <w:sz w:val="20"/>
      <w:szCs w:val="20"/>
      <w:u w:val="none"/>
    </w:rPr>
  </w:style>
  <w:style w:type="character" w:customStyle="1" w:styleId="26">
    <w:name w:val="font61"/>
    <w:basedOn w:val="16"/>
    <w:uiPriority w:val="0"/>
    <w:rPr>
      <w:rFonts w:ascii="Symbol" w:hAnsi="Symbol" w:cs="Symbol"/>
      <w:color w:val="000000"/>
      <w:sz w:val="20"/>
      <w:szCs w:val="20"/>
      <w:u w:val="none"/>
    </w:rPr>
  </w:style>
  <w:style w:type="character" w:customStyle="1" w:styleId="27">
    <w:name w:val="正文文本缩进 Char"/>
    <w:link w:val="28"/>
    <w:uiPriority w:val="0"/>
    <w:rPr>
      <w:kern w:val="2"/>
      <w:sz w:val="21"/>
      <w:szCs w:val="24"/>
    </w:rPr>
  </w:style>
  <w:style w:type="paragraph" w:customStyle="1" w:styleId="28">
    <w:name w:val="正文文本缩进1"/>
    <w:basedOn w:val="1"/>
    <w:link w:val="27"/>
    <w:uiPriority w:val="0"/>
    <w:pPr>
      <w:ind w:firstLine="435"/>
    </w:pPr>
    <w:rPr>
      <w:rFonts w:ascii="Times New Roman" w:hAnsi="Times New Roman" w:eastAsia="宋体"/>
      <w:sz w:val="21"/>
      <w:szCs w:val="24"/>
    </w:rPr>
  </w:style>
  <w:style w:type="character" w:customStyle="1" w:styleId="29">
    <w:name w:val="纯文本 Char1"/>
    <w:uiPriority w:val="0"/>
    <w:rPr>
      <w:rFonts w:ascii="宋体" w:hAnsi="Courier New" w:cs="Courier New"/>
      <w:kern w:val="2"/>
      <w:sz w:val="21"/>
      <w:szCs w:val="21"/>
    </w:rPr>
  </w:style>
  <w:style w:type="character" w:customStyle="1" w:styleId="30">
    <w:name w:val="NormalCharacter"/>
    <w:semiHidden/>
    <w:qFormat/>
    <w:uiPriority w:val="0"/>
  </w:style>
  <w:style w:type="character" w:customStyle="1" w:styleId="31">
    <w:name w:val="正文文本 Char"/>
    <w:link w:val="2"/>
    <w:uiPriority w:val="0"/>
    <w:rPr>
      <w:rFonts w:ascii="Calibri" w:hAnsi="Calibri"/>
      <w:kern w:val="2"/>
      <w:sz w:val="21"/>
      <w:szCs w:val="22"/>
    </w:rPr>
  </w:style>
  <w:style w:type="character" w:customStyle="1" w:styleId="32">
    <w:name w:val="标题 1 Char"/>
    <w:link w:val="3"/>
    <w:uiPriority w:val="0"/>
    <w:rPr>
      <w:rFonts w:eastAsia="仿宋_GB2312"/>
      <w:b/>
      <w:bCs/>
      <w:kern w:val="44"/>
      <w:sz w:val="36"/>
      <w:szCs w:val="44"/>
    </w:rPr>
  </w:style>
  <w:style w:type="character" w:customStyle="1" w:styleId="33">
    <w:name w:val="font01"/>
    <w:basedOn w:val="16"/>
    <w:uiPriority w:val="0"/>
    <w:rPr>
      <w:rFonts w:ascii="Symbol" w:hAnsi="Symbol" w:cs="Symbol"/>
      <w:color w:val="000000"/>
      <w:sz w:val="20"/>
      <w:szCs w:val="20"/>
      <w:u w:val="none"/>
    </w:rPr>
  </w:style>
  <w:style w:type="character" w:customStyle="1" w:styleId="34">
    <w:name w:val="apple-converted-space"/>
    <w:basedOn w:val="16"/>
    <w:uiPriority w:val="0"/>
  </w:style>
  <w:style w:type="character" w:customStyle="1" w:styleId="35">
    <w:name w:val="页眉 Char"/>
    <w:link w:val="10"/>
    <w:uiPriority w:val="0"/>
    <w:rPr>
      <w:sz w:val="18"/>
      <w:szCs w:val="18"/>
    </w:rPr>
  </w:style>
  <w:style w:type="character" w:customStyle="1" w:styleId="36">
    <w:name w:val="页脚 Char"/>
    <w:link w:val="9"/>
    <w:uiPriority w:val="0"/>
    <w:rPr>
      <w:sz w:val="18"/>
      <w:szCs w:val="18"/>
    </w:rPr>
  </w:style>
  <w:style w:type="character" w:customStyle="1" w:styleId="37">
    <w:name w:val="font51"/>
    <w:basedOn w:val="16"/>
    <w:uiPriority w:val="0"/>
    <w:rPr>
      <w:rFonts w:hint="eastAsia" w:ascii="宋体" w:hAnsi="宋体" w:eastAsia="宋体" w:cs="宋体"/>
      <w:color w:val="000000"/>
      <w:sz w:val="20"/>
      <w:szCs w:val="20"/>
      <w:u w:val="none"/>
    </w:rPr>
  </w:style>
  <w:style w:type="character" w:customStyle="1" w:styleId="38">
    <w:name w:val="纯文本 Char"/>
    <w:link w:val="39"/>
    <w:uiPriority w:val="0"/>
    <w:rPr>
      <w:rFonts w:ascii="宋体" w:hAnsi="Courier New"/>
      <w:sz w:val="21"/>
      <w:szCs w:val="21"/>
    </w:rPr>
  </w:style>
  <w:style w:type="paragraph" w:customStyle="1" w:styleId="39">
    <w:name w:val="纯文本1"/>
    <w:basedOn w:val="1"/>
    <w:link w:val="38"/>
    <w:uiPriority w:val="0"/>
    <w:rPr>
      <w:rFonts w:ascii="宋体" w:hAnsi="Courier New" w:eastAsia="宋体"/>
      <w:kern w:val="0"/>
      <w:sz w:val="21"/>
      <w:szCs w:val="21"/>
    </w:rPr>
  </w:style>
  <w:style w:type="character" w:customStyle="1" w:styleId="40">
    <w:name w:val="批注框文本 Char"/>
    <w:link w:val="8"/>
    <w:uiPriority w:val="0"/>
    <w:rPr>
      <w:sz w:val="18"/>
      <w:szCs w:val="18"/>
    </w:rPr>
  </w:style>
  <w:style w:type="character" w:customStyle="1" w:styleId="41">
    <w:name w:val="font71"/>
    <w:basedOn w:val="16"/>
    <w:uiPriority w:val="0"/>
    <w:rPr>
      <w:rFonts w:hint="default" w:ascii="方正兰亭黑简体" w:hAnsi="方正兰亭黑简体" w:eastAsia="方正兰亭黑简体" w:cs="方正兰亭黑简体"/>
      <w:color w:val="FF0000"/>
      <w:sz w:val="24"/>
      <w:szCs w:val="24"/>
      <w:u w:val="none"/>
    </w:rPr>
  </w:style>
  <w:style w:type="paragraph" w:customStyle="1" w:styleId="42">
    <w:name w:val="Char Char Char Char Char Char Char Char Char Char Char Char1 Char"/>
    <w:basedOn w:val="1"/>
    <w:uiPriority w:val="0"/>
    <w:pPr>
      <w:snapToGrid w:val="0"/>
      <w:spacing w:line="360" w:lineRule="auto"/>
      <w:ind w:firstLine="200" w:firstLineChars="200"/>
    </w:pPr>
  </w:style>
  <w:style w:type="paragraph" w:customStyle="1" w:styleId="43">
    <w:name w:val="WPSOffice手动目录 1"/>
    <w:uiPriority w:val="0"/>
    <w:rPr>
      <w:rFonts w:ascii="Times New Roman" w:hAnsi="Times New Roman" w:eastAsia="宋体" w:cs="Times New Roman"/>
      <w:lang w:val="en-US" w:eastAsia="zh-CN" w:bidi="ar-SA"/>
    </w:rPr>
  </w:style>
  <w:style w:type="paragraph" w:customStyle="1" w:styleId="44">
    <w:name w:val="论文标题1"/>
    <w:basedOn w:val="3"/>
    <w:uiPriority w:val="0"/>
    <w:pPr>
      <w:tabs>
        <w:tab w:val="left" w:pos="747"/>
      </w:tabs>
      <w:adjustRightInd w:val="0"/>
      <w:spacing w:before="340" w:after="330" w:line="240" w:lineRule="auto"/>
      <w:ind w:left="747" w:hanging="567"/>
      <w:jc w:val="both"/>
      <w:textAlignment w:val="baseline"/>
    </w:pPr>
    <w:rPr>
      <w:rFonts w:eastAsia="宋体"/>
      <w:sz w:val="44"/>
    </w:rPr>
  </w:style>
  <w:style w:type="paragraph" w:styleId="45">
    <w:name w:val="No Spacing"/>
    <w:qFormat/>
    <w:uiPriority w:val="1"/>
    <w:pPr>
      <w:adjustRightInd w:val="0"/>
      <w:snapToGrid w:val="0"/>
    </w:pPr>
    <w:rPr>
      <w:rFonts w:ascii="Tahoma" w:hAnsi="Tahoma" w:eastAsia="微软雅黑" w:cs="Times New Roman"/>
      <w:sz w:val="22"/>
      <w:szCs w:val="22"/>
      <w:lang w:val="en-US" w:eastAsia="zh-CN" w:bidi="ar-SA"/>
    </w:rPr>
  </w:style>
  <w:style w:type="paragraph" w:customStyle="1" w:styleId="46">
    <w:name w:val="列出段落1"/>
    <w:basedOn w:val="1"/>
    <w:uiPriority w:val="0"/>
    <w:pPr>
      <w:ind w:firstLine="420" w:firstLineChars="200"/>
    </w:pPr>
  </w:style>
  <w:style w:type="paragraph" w:customStyle="1" w:styleId="47">
    <w:name w:val="BodyText"/>
    <w:basedOn w:val="1"/>
    <w:uiPriority w:val="0"/>
    <w:pPr>
      <w:spacing w:after="120"/>
      <w:jc w:val="both"/>
    </w:pPr>
    <w:rPr>
      <w:rFonts w:eastAsia="宋体"/>
      <w:kern w:val="0"/>
      <w:sz w:val="20"/>
      <w:szCs w:val="20"/>
    </w:rPr>
  </w:style>
  <w:style w:type="paragraph" w:customStyle="1" w:styleId="48">
    <w:name w:val="Heading1"/>
    <w:basedOn w:val="1"/>
    <w:next w:val="1"/>
    <w:uiPriority w:val="0"/>
    <w:pPr>
      <w:keepNext/>
      <w:keepLines/>
      <w:spacing w:line="578" w:lineRule="auto"/>
      <w:jc w:val="center"/>
    </w:pPr>
    <w:rPr>
      <w:b/>
      <w:bCs/>
      <w:kern w:val="44"/>
      <w:sz w:val="36"/>
      <w:szCs w:val="44"/>
    </w:rPr>
  </w:style>
  <w:style w:type="paragraph" w:customStyle="1" w:styleId="49">
    <w:name w:val="_Style 23"/>
    <w:basedOn w:val="1"/>
    <w:uiPriority w:val="0"/>
    <w:pPr>
      <w:widowControl/>
      <w:spacing w:after="160" w:line="240" w:lineRule="exact"/>
    </w:pPr>
    <w:rPr>
      <w:rFonts w:ascii="Verdana" w:hAnsi="Verdana"/>
      <w:kern w:val="0"/>
      <w:sz w:val="20"/>
      <w:szCs w:val="20"/>
      <w:lang w:eastAsia="en-US"/>
    </w:rPr>
  </w:style>
  <w:style w:type="paragraph" w:customStyle="1" w:styleId="50">
    <w:name w:val="WPSOffice手动目录 2"/>
    <w:uiPriority w:val="0"/>
    <w:pPr>
      <w:ind w:left="200" w:leftChars="200"/>
    </w:pPr>
    <w:rPr>
      <w:rFonts w:ascii="Times New Roman" w:hAnsi="Times New Roman" w:eastAsia="宋体" w:cs="Times New Roman"/>
      <w:lang w:val="en-US" w:eastAsia="zh-CN" w:bidi="ar-SA"/>
    </w:rPr>
  </w:style>
  <w:style w:type="paragraph" w:customStyle="1" w:styleId="51">
    <w:name w:val="Normal_1"/>
    <w:qFormat/>
    <w:uiPriority w:val="0"/>
    <w:rPr>
      <w:rFonts w:ascii="Calibri" w:hAnsi="Calibri" w:eastAsia="宋体" w:cs="Times New Roman"/>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0"/>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700</Words>
  <Characters>3993</Characters>
  <Lines>33</Lines>
  <Paragraphs>9</Paragraphs>
  <TotalTime>40</TotalTime>
  <ScaleCrop>false</ScaleCrop>
  <LinksUpToDate>false</LinksUpToDate>
  <CharactersWithSpaces>4684</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2019-12-18T02:16:00Z</dcterms:created>
  <dc:creator>User</dc:creator>
  <cp:lastModifiedBy>独立</cp:lastModifiedBy>
  <cp:lastPrinted>2019-12-17T06:36:00Z</cp:lastPrinted>
  <dcterms:modified xsi:type="dcterms:W3CDTF">2019-12-20T06:32:39Z</dcterms:modified>
  <dc:title>_x005f_x0001_</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