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color w:val="auto"/>
          <w:sz w:val="52"/>
          <w:szCs w:val="52"/>
          <w:highlight w:val="none"/>
        </w:rPr>
      </w:pPr>
      <w:r>
        <w:rPr>
          <w:rFonts w:ascii="仿宋" w:hAnsi="仿宋" w:eastAsia="仿宋"/>
          <w:b/>
          <w:color w:val="auto"/>
          <w:sz w:val="52"/>
          <w:szCs w:val="52"/>
          <w:highlight w:val="none"/>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 style="font-family:宋体;font-size:36pt;v-text-align:center;"/>
            <v:shadow on="t" color="#868686" offset="1pt,0pt" offset2="-2pt,-4pt"/>
            <w10:wrap type="none"/>
            <w10:anchorlock/>
          </v:shape>
        </w:pict>
      </w: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r>
        <w:rPr>
          <w:rFonts w:ascii="仿宋" w:hAnsi="仿宋" w:eastAsia="仿宋"/>
          <w:b/>
          <w:color w:val="auto"/>
          <w:sz w:val="52"/>
          <w:szCs w:val="52"/>
          <w:highlight w:val="none"/>
        </w:rPr>
        <w:pict>
          <v:shape id="_x0000_i1026" o:spt="136" type="#_x0000_t136" style="height:44.35pt;width:176.65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color w:val="auto"/>
          <w:sz w:val="52"/>
          <w:szCs w:val="52"/>
          <w:highlight w:val="none"/>
        </w:rPr>
      </w:pPr>
    </w:p>
    <w:p>
      <w:pPr>
        <w:jc w:val="center"/>
        <w:rPr>
          <w:rFonts w:ascii="仿宋" w:hAnsi="仿宋" w:eastAsia="仿宋"/>
          <w:b/>
          <w:color w:val="auto"/>
          <w:sz w:val="52"/>
          <w:szCs w:val="52"/>
          <w:highlight w:val="none"/>
        </w:rPr>
      </w:pPr>
    </w:p>
    <w:p>
      <w:pPr>
        <w:rPr>
          <w:rFonts w:ascii="仿宋" w:hAnsi="仿宋" w:eastAsia="仿宋"/>
          <w:b/>
          <w:color w:val="auto"/>
          <w:sz w:val="52"/>
          <w:szCs w:val="52"/>
          <w:highlight w:val="none"/>
        </w:rPr>
      </w:pPr>
    </w:p>
    <w:p>
      <w:pPr>
        <w:rPr>
          <w:rFonts w:ascii="仿宋" w:hAnsi="仿宋" w:eastAsia="仿宋"/>
          <w:b/>
          <w:color w:val="auto"/>
          <w:sz w:val="52"/>
          <w:szCs w:val="52"/>
          <w:highlight w:val="none"/>
        </w:rPr>
      </w:pPr>
    </w:p>
    <w:p>
      <w:pPr>
        <w:jc w:val="center"/>
        <w:rPr>
          <w:rFonts w:hint="default" w:ascii="仿宋" w:hAnsi="仿宋" w:eastAsia="仿宋"/>
          <w:b/>
          <w:color w:val="auto"/>
          <w:sz w:val="44"/>
          <w:szCs w:val="44"/>
          <w:highlight w:val="none"/>
          <w:lang w:val="en-US"/>
        </w:rPr>
      </w:pPr>
      <w:r>
        <w:rPr>
          <w:rFonts w:hint="eastAsia" w:ascii="仿宋" w:hAnsi="仿宋" w:eastAsia="仿宋"/>
          <w:b/>
          <w:color w:val="auto"/>
          <w:sz w:val="44"/>
          <w:szCs w:val="44"/>
          <w:highlight w:val="none"/>
        </w:rPr>
        <w:t>项目名称：</w:t>
      </w:r>
      <w:r>
        <w:rPr>
          <w:rFonts w:hint="eastAsia" w:ascii="仿宋" w:hAnsi="仿宋" w:eastAsia="仿宋"/>
          <w:b/>
          <w:color w:val="auto"/>
          <w:sz w:val="44"/>
          <w:szCs w:val="44"/>
          <w:highlight w:val="none"/>
          <w:lang w:val="en-US" w:eastAsia="zh-CN"/>
        </w:rPr>
        <w:t>骨质瓷器具采购项目</w:t>
      </w:r>
    </w:p>
    <w:p>
      <w:pPr>
        <w:jc w:val="center"/>
        <w:rPr>
          <w:rFonts w:ascii="仿宋" w:hAnsi="仿宋" w:eastAsia="仿宋"/>
          <w:b/>
          <w:color w:val="auto"/>
          <w:sz w:val="44"/>
          <w:szCs w:val="44"/>
          <w:highlight w:val="none"/>
        </w:rPr>
      </w:pPr>
      <w:r>
        <w:rPr>
          <w:rFonts w:hint="eastAsia" w:ascii="仿宋" w:hAnsi="仿宋" w:eastAsia="仿宋"/>
          <w:b/>
          <w:color w:val="auto"/>
          <w:sz w:val="44"/>
          <w:szCs w:val="44"/>
          <w:highlight w:val="none"/>
        </w:rPr>
        <w:t>项目编号：CG/SYGS-</w:t>
      </w:r>
      <w:r>
        <w:rPr>
          <w:rFonts w:hint="eastAsia" w:ascii="仿宋" w:hAnsi="仿宋" w:eastAsia="仿宋"/>
          <w:b/>
          <w:color w:val="auto"/>
          <w:sz w:val="44"/>
          <w:szCs w:val="44"/>
          <w:highlight w:val="none"/>
          <w:lang w:val="en-US" w:eastAsia="zh-CN"/>
        </w:rPr>
        <w:t>22</w:t>
      </w:r>
      <w:r>
        <w:rPr>
          <w:rFonts w:hint="eastAsia" w:ascii="仿宋" w:hAnsi="仿宋" w:eastAsia="仿宋"/>
          <w:b/>
          <w:color w:val="auto"/>
          <w:sz w:val="44"/>
          <w:szCs w:val="44"/>
          <w:highlight w:val="none"/>
        </w:rPr>
        <w:t>-00</w:t>
      </w:r>
      <w:r>
        <w:rPr>
          <w:rFonts w:hint="eastAsia" w:ascii="仿宋" w:hAnsi="仿宋" w:eastAsia="仿宋"/>
          <w:b/>
          <w:color w:val="auto"/>
          <w:sz w:val="44"/>
          <w:szCs w:val="44"/>
          <w:highlight w:val="none"/>
          <w:lang w:val="en-US" w:eastAsia="zh-CN"/>
        </w:rPr>
        <w:t>3</w:t>
      </w:r>
      <w:r>
        <w:rPr>
          <w:rFonts w:hint="eastAsia" w:ascii="仿宋" w:hAnsi="仿宋" w:eastAsia="仿宋"/>
          <w:b/>
          <w:color w:val="auto"/>
          <w:sz w:val="44"/>
          <w:szCs w:val="44"/>
          <w:highlight w:val="none"/>
        </w:rPr>
        <w:t>-N</w:t>
      </w:r>
    </w:p>
    <w:p>
      <w:pPr>
        <w:widowControl/>
        <w:jc w:val="center"/>
        <w:rPr>
          <w:rFonts w:ascii="方正小标宋简体" w:hAnsi="仿宋" w:eastAsia="方正小标宋简体"/>
          <w:color w:val="auto"/>
          <w:sz w:val="44"/>
          <w:szCs w:val="44"/>
          <w:highlight w:val="none"/>
        </w:rPr>
      </w:pPr>
    </w:p>
    <w:p>
      <w:pPr>
        <w:widowControl/>
        <w:jc w:val="center"/>
        <w:rPr>
          <w:rFonts w:ascii="方正小标宋简体" w:hAnsi="仿宋" w:eastAsia="方正小标宋简体"/>
          <w:color w:val="auto"/>
          <w:sz w:val="44"/>
          <w:szCs w:val="44"/>
          <w:highlight w:val="none"/>
        </w:rPr>
      </w:pPr>
      <w:r>
        <w:rPr>
          <w:rFonts w:hint="eastAsia" w:ascii="方正小标宋简体" w:hAnsi="仿宋" w:eastAsia="方正小标宋简体"/>
          <w:color w:val="auto"/>
          <w:sz w:val="44"/>
          <w:szCs w:val="44"/>
          <w:highlight w:val="none"/>
        </w:rPr>
        <w:t>目录</w:t>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 w:eastAsia="仿宋_GB2312"/>
          <w:snapToGrid w:val="0"/>
          <w:color w:val="auto"/>
          <w:w w:val="80"/>
          <w:kern w:val="0"/>
          <w:sz w:val="32"/>
          <w:szCs w:val="32"/>
          <w:highlight w:val="none"/>
        </w:rPr>
        <w:fldChar w:fldCharType="begin"/>
      </w:r>
      <w:r>
        <w:rPr>
          <w:rFonts w:hint="eastAsia" w:ascii="仿宋_GB2312" w:hAnsi="仿宋" w:eastAsia="仿宋_GB2312"/>
          <w:snapToGrid w:val="0"/>
          <w:color w:val="auto"/>
          <w:w w:val="80"/>
          <w:kern w:val="0"/>
          <w:sz w:val="32"/>
          <w:szCs w:val="32"/>
          <w:highlight w:val="none"/>
        </w:rPr>
        <w:instrText xml:space="preserve"> TOC \o "1-3" \h \z \u </w:instrText>
      </w:r>
      <w:r>
        <w:rPr>
          <w:rFonts w:hint="eastAsia" w:ascii="仿宋_GB2312" w:hAnsi="仿宋" w:eastAsia="仿宋_GB2312"/>
          <w:snapToGrid w:val="0"/>
          <w:color w:val="auto"/>
          <w:w w:val="80"/>
          <w:kern w:val="0"/>
          <w:sz w:val="32"/>
          <w:szCs w:val="32"/>
          <w:highlight w:val="none"/>
        </w:rPr>
        <w:fldChar w:fldCharType="separate"/>
      </w: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_Toc10078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第一章 竞争性磋商公告</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_Toc10078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_Toc15175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一、项目概况</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_Toc15175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_Toc12399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二、供应商的资格要求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_Toc12399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_Toc18083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三、获取采购文件的时间、地点、方式</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_Toc18083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_Toc25502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四、递交响应文件截止（评标）时间、地点</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_Toc25502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_Toc5853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五、联系方式</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_Toc5853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_Toc9153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第二章  采购内容与技术要求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_Toc9153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_Toc31137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一、项目说明</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_Toc31137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_Toc28941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bCs/>
          <w:color w:val="auto"/>
          <w:kern w:val="0"/>
          <w:sz w:val="32"/>
          <w:szCs w:val="32"/>
          <w:highlight w:val="none"/>
          <w:lang w:val="en-US" w:eastAsia="zh-CN" w:bidi="ar-SA"/>
        </w:rPr>
        <w:t>二、详细参数</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_Toc28941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_Toc5011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第三章 投标人须知</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_Toc5011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_Toc30158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一、供应商资格要求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_Toc30158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_Toc1316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二、响应文件的构成</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_Toc1316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6</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_Toc15041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三、评标与中标</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_Toc15041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7</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9"/>
        <w:tabs>
          <w:tab w:val="right" w:leader="dot" w:pos="9752"/>
        </w:tabs>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napToGrid w:val="0"/>
          <w:color w:val="auto"/>
          <w:w w:val="80"/>
          <w:kern w:val="0"/>
          <w:sz w:val="32"/>
          <w:szCs w:val="32"/>
          <w:highlight w:val="none"/>
        </w:rPr>
        <w:fldChar w:fldCharType="begin"/>
      </w:r>
      <w:r>
        <w:rPr>
          <w:rFonts w:hint="eastAsia" w:ascii="仿宋_GB2312" w:hAnsi="仿宋_GB2312" w:eastAsia="仿宋_GB2312" w:cs="仿宋_GB2312"/>
          <w:snapToGrid w:val="0"/>
          <w:color w:val="auto"/>
          <w:w w:val="80"/>
          <w:kern w:val="0"/>
          <w:sz w:val="32"/>
          <w:szCs w:val="32"/>
          <w:highlight w:val="none"/>
        </w:rPr>
        <w:instrText xml:space="preserve"> HYPERLINK \l _Toc7677 </w:instrText>
      </w:r>
      <w:r>
        <w:rPr>
          <w:rFonts w:hint="eastAsia" w:ascii="仿宋_GB2312" w:hAnsi="仿宋_GB2312" w:eastAsia="仿宋_GB2312" w:cs="仿宋_GB2312"/>
          <w:snapToGrid w:val="0"/>
          <w:color w:val="auto"/>
          <w:w w:val="80"/>
          <w:kern w:val="0"/>
          <w:sz w:val="32"/>
          <w:szCs w:val="32"/>
          <w:highlight w:val="none"/>
        </w:rPr>
        <w:fldChar w:fldCharType="separate"/>
      </w:r>
      <w:r>
        <w:rPr>
          <w:rFonts w:hint="eastAsia" w:ascii="仿宋_GB2312" w:hAnsi="仿宋_GB2312" w:eastAsia="仿宋_GB2312" w:cs="仿宋_GB2312"/>
          <w:color w:val="auto"/>
          <w:sz w:val="32"/>
          <w:szCs w:val="32"/>
          <w:highlight w:val="none"/>
        </w:rPr>
        <w:t>第四章 响应文件格式与要求</w:t>
      </w:r>
      <w:r>
        <w:rPr>
          <w:rFonts w:hint="eastAsia" w:ascii="仿宋_GB2312" w:hAnsi="仿宋_GB2312" w:eastAsia="仿宋_GB2312" w:cs="仿宋_GB2312"/>
          <w:color w:val="auto"/>
          <w:sz w:val="32"/>
          <w:szCs w:val="32"/>
          <w:highlight w:val="none"/>
        </w:rPr>
        <w:tab/>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PAGEREF _Toc7677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sz w:val="32"/>
          <w:szCs w:val="32"/>
          <w:highlight w:val="none"/>
        </w:rPr>
        <w:t>11</w:t>
      </w:r>
      <w:r>
        <w:rPr>
          <w:rFonts w:hint="eastAsia" w:ascii="仿宋_GB2312" w:hAnsi="仿宋_GB2312" w:eastAsia="仿宋_GB2312" w:cs="仿宋_GB2312"/>
          <w:color w:val="auto"/>
          <w:sz w:val="32"/>
          <w:szCs w:val="32"/>
          <w:highlight w:val="none"/>
        </w:rPr>
        <w:fldChar w:fldCharType="end"/>
      </w:r>
      <w:r>
        <w:rPr>
          <w:rFonts w:hint="eastAsia" w:ascii="仿宋_GB2312" w:hAnsi="仿宋_GB2312" w:eastAsia="仿宋_GB2312" w:cs="仿宋_GB2312"/>
          <w:snapToGrid w:val="0"/>
          <w:color w:val="auto"/>
          <w:w w:val="80"/>
          <w:kern w:val="0"/>
          <w:sz w:val="32"/>
          <w:szCs w:val="32"/>
          <w:highlight w:val="none"/>
        </w:rPr>
        <w:fldChar w:fldCharType="end"/>
      </w:r>
    </w:p>
    <w:p>
      <w:pPr>
        <w:pStyle w:val="10"/>
        <w:tabs>
          <w:tab w:val="right" w:leader="dot" w:pos="9752"/>
        </w:tabs>
        <w:rPr>
          <w:color w:val="auto"/>
          <w:highlight w:val="none"/>
        </w:rPr>
      </w:pPr>
    </w:p>
    <w:p>
      <w:pPr>
        <w:widowControl/>
        <w:spacing w:line="400" w:lineRule="exact"/>
        <w:rPr>
          <w:rFonts w:hint="eastAsia" w:ascii="仿宋_GB2312" w:hAnsi="仿宋" w:eastAsia="仿宋_GB2312"/>
          <w:snapToGrid w:val="0"/>
          <w:color w:val="auto"/>
          <w:w w:val="80"/>
          <w:kern w:val="0"/>
          <w:szCs w:val="32"/>
          <w:highlight w:val="none"/>
        </w:rPr>
      </w:pPr>
      <w:r>
        <w:rPr>
          <w:rFonts w:hint="eastAsia" w:ascii="仿宋_GB2312" w:hAnsi="仿宋" w:eastAsia="仿宋_GB2312"/>
          <w:snapToGrid w:val="0"/>
          <w:color w:val="auto"/>
          <w:w w:val="80"/>
          <w:kern w:val="0"/>
          <w:szCs w:val="32"/>
          <w:highlight w:val="none"/>
        </w:rPr>
        <w:fldChar w:fldCharType="end"/>
      </w: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pStyle w:val="2"/>
        <w:rPr>
          <w:rFonts w:hint="eastAsia" w:ascii="仿宋_GB2312" w:hAnsi="仿宋" w:eastAsia="仿宋_GB2312"/>
          <w:snapToGrid w:val="0"/>
          <w:color w:val="auto"/>
          <w:w w:val="80"/>
          <w:kern w:val="0"/>
          <w:szCs w:val="32"/>
          <w:highlight w:val="none"/>
        </w:rPr>
      </w:pPr>
    </w:p>
    <w:p>
      <w:pPr>
        <w:rPr>
          <w:rFonts w:hint="eastAsia"/>
          <w:color w:val="auto"/>
          <w:highlight w:val="none"/>
        </w:rPr>
      </w:pPr>
    </w:p>
    <w:p>
      <w:pPr>
        <w:rPr>
          <w:rFonts w:hint="eastAsia"/>
          <w:color w:val="auto"/>
          <w:highlight w:val="none"/>
        </w:rPr>
      </w:pPr>
    </w:p>
    <w:p>
      <w:pPr>
        <w:rPr>
          <w:color w:val="auto"/>
          <w:highlight w:val="none"/>
        </w:rPr>
      </w:pPr>
    </w:p>
    <w:p>
      <w:pPr>
        <w:pStyle w:val="3"/>
        <w:spacing w:line="360" w:lineRule="auto"/>
        <w:rPr>
          <w:rFonts w:ascii="仿宋" w:hAnsi="仿宋" w:eastAsia="仿宋"/>
          <w:color w:val="auto"/>
          <w:highlight w:val="none"/>
        </w:rPr>
      </w:pPr>
      <w:bookmarkStart w:id="0" w:name="_Toc10078"/>
      <w:r>
        <w:rPr>
          <w:rFonts w:hint="eastAsia" w:ascii="仿宋" w:hAnsi="仿宋" w:eastAsia="仿宋"/>
          <w:color w:val="auto"/>
          <w:highlight w:val="none"/>
        </w:rPr>
        <w:t>第一章 竞争性磋商公告</w:t>
      </w:r>
      <w:bookmarkEnd w:id="0"/>
    </w:p>
    <w:p>
      <w:pPr>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鄂尔多斯市空港实业有限公司拟采用竞争性磋商的方式进行</w:t>
      </w:r>
      <w:r>
        <w:rPr>
          <w:rFonts w:hint="eastAsia" w:ascii="仿宋" w:hAnsi="仿宋" w:eastAsia="仿宋"/>
          <w:color w:val="auto"/>
          <w:kern w:val="2"/>
          <w:sz w:val="28"/>
          <w:szCs w:val="28"/>
          <w:highlight w:val="none"/>
          <w:lang w:val="en-US" w:eastAsia="zh-CN"/>
        </w:rPr>
        <w:t>楼宇</w:t>
      </w:r>
      <w:r>
        <w:rPr>
          <w:rFonts w:hint="eastAsia" w:ascii="仿宋" w:hAnsi="仿宋" w:eastAsia="仿宋"/>
          <w:color w:val="auto"/>
          <w:kern w:val="2"/>
          <w:sz w:val="28"/>
          <w:szCs w:val="28"/>
          <w:highlight w:val="none"/>
        </w:rPr>
        <w:t>绿植租摆养护服务项目</w:t>
      </w:r>
      <w:r>
        <w:rPr>
          <w:rFonts w:hint="eastAsia" w:ascii="仿宋" w:hAnsi="仿宋" w:eastAsia="仿宋"/>
          <w:color w:val="auto"/>
          <w:sz w:val="28"/>
          <w:szCs w:val="28"/>
          <w:highlight w:val="none"/>
        </w:rPr>
        <w:t>采购，现邀请符合条件的供应商前来参与此次采购活动。</w:t>
      </w:r>
    </w:p>
    <w:p>
      <w:pPr>
        <w:pStyle w:val="4"/>
        <w:spacing w:line="360" w:lineRule="auto"/>
        <w:ind w:firstLine="562" w:firstLineChars="200"/>
        <w:rPr>
          <w:rFonts w:ascii="仿宋" w:hAnsi="仿宋" w:eastAsia="仿宋"/>
          <w:color w:val="auto"/>
          <w:sz w:val="28"/>
          <w:szCs w:val="28"/>
          <w:highlight w:val="none"/>
        </w:rPr>
      </w:pPr>
      <w:bookmarkStart w:id="1" w:name="_Toc15175"/>
      <w:r>
        <w:rPr>
          <w:rFonts w:hint="eastAsia" w:ascii="仿宋" w:hAnsi="仿宋" w:eastAsia="仿宋"/>
          <w:color w:val="auto"/>
          <w:sz w:val="28"/>
          <w:szCs w:val="28"/>
          <w:highlight w:val="none"/>
        </w:rPr>
        <w:t>一、项目概况</w:t>
      </w:r>
      <w:bookmarkEnd w:id="1"/>
    </w:p>
    <w:p>
      <w:pPr>
        <w:pStyle w:val="5"/>
        <w:spacing w:line="360" w:lineRule="auto"/>
        <w:ind w:firstLine="560" w:firstLineChars="200"/>
        <w:rPr>
          <w:rFonts w:hint="eastAsia" w:ascii="仿宋" w:hAnsi="仿宋" w:eastAsia="仿宋"/>
          <w:color w:val="auto"/>
          <w:kern w:val="2"/>
          <w:sz w:val="28"/>
          <w:szCs w:val="28"/>
          <w:highlight w:val="none"/>
        </w:rPr>
      </w:pPr>
      <w:r>
        <w:rPr>
          <w:rFonts w:hint="eastAsia" w:ascii="仿宋" w:hAnsi="仿宋" w:eastAsia="仿宋"/>
          <w:color w:val="auto"/>
          <w:kern w:val="2"/>
          <w:sz w:val="28"/>
          <w:szCs w:val="28"/>
          <w:highlight w:val="none"/>
        </w:rPr>
        <w:t>（一）项目名称：</w:t>
      </w:r>
      <w:r>
        <w:rPr>
          <w:rFonts w:hint="eastAsia" w:ascii="仿宋" w:hAnsi="仿宋" w:eastAsia="仿宋"/>
          <w:color w:val="auto"/>
          <w:kern w:val="2"/>
          <w:sz w:val="28"/>
          <w:szCs w:val="28"/>
          <w:highlight w:val="none"/>
          <w:lang w:val="en-US" w:eastAsia="zh-CN"/>
        </w:rPr>
        <w:t>骨质瓷器具采购</w:t>
      </w:r>
      <w:r>
        <w:rPr>
          <w:rFonts w:hint="eastAsia" w:ascii="仿宋" w:hAnsi="仿宋" w:eastAsia="仿宋"/>
          <w:color w:val="auto"/>
          <w:kern w:val="2"/>
          <w:sz w:val="28"/>
          <w:szCs w:val="28"/>
          <w:highlight w:val="none"/>
        </w:rPr>
        <w:t>项目</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（二）项目编号：CG/SYGS-</w:t>
      </w:r>
      <w:r>
        <w:rPr>
          <w:rFonts w:hint="eastAsia" w:ascii="仿宋" w:hAnsi="仿宋" w:eastAsia="仿宋"/>
          <w:color w:val="auto"/>
          <w:kern w:val="2"/>
          <w:sz w:val="28"/>
          <w:szCs w:val="28"/>
          <w:highlight w:val="none"/>
          <w:lang w:val="en-US" w:eastAsia="zh-CN"/>
        </w:rPr>
        <w:t>22</w:t>
      </w:r>
      <w:r>
        <w:rPr>
          <w:rFonts w:hint="eastAsia" w:ascii="仿宋" w:hAnsi="仿宋" w:eastAsia="仿宋"/>
          <w:color w:val="auto"/>
          <w:kern w:val="2"/>
          <w:sz w:val="28"/>
          <w:szCs w:val="28"/>
          <w:highlight w:val="none"/>
        </w:rPr>
        <w:t>-00</w:t>
      </w:r>
      <w:r>
        <w:rPr>
          <w:rFonts w:hint="eastAsia" w:ascii="仿宋" w:hAnsi="仿宋" w:eastAsia="仿宋"/>
          <w:color w:val="auto"/>
          <w:kern w:val="2"/>
          <w:sz w:val="28"/>
          <w:szCs w:val="28"/>
          <w:highlight w:val="none"/>
          <w:lang w:val="en-US" w:eastAsia="zh-CN"/>
        </w:rPr>
        <w:t>3</w:t>
      </w:r>
      <w:r>
        <w:rPr>
          <w:rFonts w:hint="eastAsia" w:ascii="仿宋" w:hAnsi="仿宋" w:eastAsia="仿宋"/>
          <w:color w:val="auto"/>
          <w:kern w:val="2"/>
          <w:sz w:val="28"/>
          <w:szCs w:val="28"/>
          <w:highlight w:val="none"/>
        </w:rPr>
        <w:t>-N</w:t>
      </w:r>
    </w:p>
    <w:p>
      <w:pPr>
        <w:pStyle w:val="5"/>
        <w:spacing w:line="360" w:lineRule="auto"/>
        <w:ind w:firstLine="560" w:firstLineChars="200"/>
        <w:rPr>
          <w:rFonts w:hint="eastAsia" w:ascii="仿宋" w:hAnsi="仿宋" w:eastAsia="仿宋"/>
          <w:color w:val="auto"/>
          <w:kern w:val="2"/>
          <w:sz w:val="28"/>
          <w:szCs w:val="28"/>
          <w:highlight w:val="none"/>
        </w:rPr>
      </w:pPr>
      <w:r>
        <w:rPr>
          <w:rFonts w:hint="eastAsia" w:ascii="仿宋" w:hAnsi="仿宋" w:eastAsia="仿宋"/>
          <w:color w:val="auto"/>
          <w:kern w:val="2"/>
          <w:sz w:val="28"/>
          <w:szCs w:val="28"/>
          <w:highlight w:val="none"/>
        </w:rPr>
        <w:t>（三）采购人：鄂尔多斯市空港实业有限公司</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（四）资金来源：鄂尔多斯市空港实业有限公司</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（五）采购内容：</w:t>
      </w:r>
      <w:r>
        <w:rPr>
          <w:rFonts w:ascii="仿宋" w:hAnsi="仿宋" w:eastAsia="仿宋"/>
          <w:color w:val="auto"/>
          <w:kern w:val="2"/>
          <w:sz w:val="28"/>
          <w:szCs w:val="28"/>
          <w:highlight w:val="none"/>
        </w:rPr>
        <w:t xml:space="preserve"> </w:t>
      </w:r>
    </w:p>
    <w:p>
      <w:pPr>
        <w:pStyle w:val="5"/>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kern w:val="2"/>
          <w:sz w:val="28"/>
          <w:szCs w:val="28"/>
          <w:highlight w:val="none"/>
          <w:lang w:val="en-US" w:eastAsia="zh-CN"/>
        </w:rPr>
        <w:t>1.</w:t>
      </w:r>
      <w:r>
        <w:rPr>
          <w:rFonts w:hint="eastAsia" w:ascii="仿宋" w:hAnsi="仿宋" w:eastAsia="仿宋"/>
          <w:color w:val="auto"/>
          <w:sz w:val="28"/>
          <w:szCs w:val="28"/>
          <w:highlight w:val="none"/>
        </w:rPr>
        <w:t>技术规格、参数及要求：</w:t>
      </w:r>
      <w:r>
        <w:rPr>
          <w:rFonts w:hint="eastAsia" w:ascii="仿宋" w:hAnsi="仿宋" w:eastAsia="仿宋"/>
          <w:color w:val="auto"/>
          <w:sz w:val="28"/>
          <w:szCs w:val="28"/>
          <w:highlight w:val="none"/>
          <w:lang w:val="en-US" w:eastAsia="zh-CN"/>
        </w:rPr>
        <w:t>按招标文件要求，提供骨质瓷器具，</w:t>
      </w:r>
      <w:r>
        <w:rPr>
          <w:rFonts w:hint="eastAsia" w:ascii="仿宋" w:hAnsi="仿宋" w:eastAsia="仿宋"/>
          <w:color w:val="auto"/>
          <w:sz w:val="28"/>
          <w:szCs w:val="28"/>
          <w:highlight w:val="none"/>
        </w:rPr>
        <w:t>详见招标文件</w:t>
      </w:r>
    </w:p>
    <w:p>
      <w:pPr>
        <w:pStyle w:val="5"/>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预算金额：</w:t>
      </w:r>
    </w:p>
    <w:p>
      <w:pPr>
        <w:pStyle w:val="4"/>
        <w:spacing w:line="360" w:lineRule="auto"/>
        <w:ind w:firstLine="560" w:firstLineChars="200"/>
        <w:rPr>
          <w:rFonts w:hint="eastAsia" w:ascii="仿宋" w:hAnsi="仿宋" w:eastAsia="仿宋" w:cs="宋体"/>
          <w:b w:val="0"/>
          <w:bCs w:val="0"/>
          <w:color w:val="auto"/>
          <w:kern w:val="0"/>
          <w:sz w:val="28"/>
          <w:szCs w:val="28"/>
          <w:highlight w:val="none"/>
          <w:lang w:val="en-US" w:eastAsia="zh-CN" w:bidi="ar-SA"/>
        </w:rPr>
      </w:pPr>
      <w:bookmarkStart w:id="2" w:name="_Toc23998"/>
      <w:bookmarkStart w:id="3" w:name="_Toc24076"/>
      <w:r>
        <w:rPr>
          <w:rFonts w:hint="eastAsia" w:ascii="仿宋" w:hAnsi="仿宋" w:eastAsia="仿宋" w:cs="宋体"/>
          <w:b w:val="0"/>
          <w:bCs w:val="0"/>
          <w:color w:val="auto"/>
          <w:kern w:val="0"/>
          <w:sz w:val="28"/>
          <w:szCs w:val="28"/>
          <w:highlight w:val="none"/>
          <w:lang w:val="en-US" w:eastAsia="zh-CN" w:bidi="ar-SA"/>
        </w:rPr>
        <w:t>100000元</w:t>
      </w:r>
      <w:bookmarkEnd w:id="2"/>
      <w:bookmarkEnd w:id="3"/>
    </w:p>
    <w:p>
      <w:pPr>
        <w:pStyle w:val="4"/>
        <w:spacing w:line="360" w:lineRule="auto"/>
        <w:ind w:firstLine="562" w:firstLineChars="200"/>
        <w:rPr>
          <w:rFonts w:ascii="仿宋" w:hAnsi="仿宋" w:eastAsia="仿宋"/>
          <w:color w:val="auto"/>
          <w:sz w:val="28"/>
          <w:szCs w:val="28"/>
          <w:highlight w:val="none"/>
        </w:rPr>
      </w:pPr>
      <w:bookmarkStart w:id="4" w:name="_Toc12399"/>
      <w:r>
        <w:rPr>
          <w:rFonts w:hint="eastAsia" w:ascii="仿宋" w:hAnsi="仿宋" w:eastAsia="仿宋"/>
          <w:color w:val="auto"/>
          <w:sz w:val="28"/>
          <w:szCs w:val="28"/>
          <w:highlight w:val="none"/>
        </w:rPr>
        <w:t>二、供应商的资格要求</w:t>
      </w:r>
      <w:bookmarkEnd w:id="4"/>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（一）供应商应符合《中华人民共和国政府采购法》第二十二条规定的条件；</w:t>
      </w:r>
    </w:p>
    <w:p>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（二）具有</w:t>
      </w:r>
      <w:r>
        <w:rPr>
          <w:rFonts w:hint="eastAsia" w:ascii="仿宋" w:hAnsi="仿宋" w:eastAsia="仿宋"/>
          <w:color w:val="auto"/>
          <w:sz w:val="28"/>
          <w:szCs w:val="28"/>
          <w:highlight w:val="none"/>
          <w:lang w:val="en-US" w:eastAsia="zh-CN"/>
        </w:rPr>
        <w:t>瓷器制作及销售相关营业范围。</w:t>
      </w:r>
    </w:p>
    <w:p>
      <w:pPr>
        <w:pStyle w:val="4"/>
        <w:spacing w:line="360" w:lineRule="auto"/>
        <w:ind w:firstLine="562" w:firstLineChars="200"/>
        <w:rPr>
          <w:rFonts w:ascii="仿宋" w:hAnsi="仿宋" w:eastAsia="仿宋"/>
          <w:color w:val="auto"/>
          <w:sz w:val="28"/>
          <w:szCs w:val="28"/>
          <w:highlight w:val="none"/>
        </w:rPr>
      </w:pPr>
      <w:bookmarkStart w:id="5" w:name="_Toc18083"/>
      <w:r>
        <w:rPr>
          <w:rFonts w:hint="eastAsia" w:ascii="仿宋" w:hAnsi="仿宋" w:eastAsia="仿宋"/>
          <w:color w:val="auto"/>
          <w:sz w:val="28"/>
          <w:szCs w:val="28"/>
          <w:highlight w:val="none"/>
        </w:rPr>
        <w:t>三、获取采购文件的时间、地点、方式</w:t>
      </w:r>
      <w:bookmarkEnd w:id="5"/>
    </w:p>
    <w:p>
      <w:pPr>
        <w:spacing w:line="360" w:lineRule="auto"/>
        <w:ind w:firstLine="560" w:firstLineChars="200"/>
        <w:textAlignment w:val="baseline"/>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符合上述条件的供应商可于20</w:t>
      </w:r>
      <w:r>
        <w:rPr>
          <w:rFonts w:hint="eastAsia" w:ascii="仿宋" w:hAnsi="仿宋" w:eastAsia="仿宋"/>
          <w:color w:val="auto"/>
          <w:sz w:val="28"/>
          <w:szCs w:val="28"/>
          <w:highlight w:val="none"/>
          <w:lang w:val="en-US" w:eastAsia="zh-CN"/>
        </w:rPr>
        <w:t>22</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13</w:t>
      </w:r>
      <w:r>
        <w:rPr>
          <w:rFonts w:hint="eastAsia" w:ascii="仿宋" w:hAnsi="仿宋" w:eastAsia="仿宋"/>
          <w:color w:val="auto"/>
          <w:sz w:val="28"/>
          <w:szCs w:val="28"/>
          <w:highlight w:val="none"/>
        </w:rPr>
        <w:t>日起登录鄂尔多斯机场管理集团有限公司网站页面（网址：</w:t>
      </w:r>
      <w:r>
        <w:rPr>
          <w:rFonts w:ascii="仿宋" w:hAnsi="仿宋" w:eastAsia="仿宋"/>
          <w:color w:val="auto"/>
          <w:sz w:val="28"/>
          <w:szCs w:val="28"/>
          <w:highlight w:val="none"/>
        </w:rPr>
        <w:t>http://ordosairport.com/</w:t>
      </w:r>
      <w:r>
        <w:rPr>
          <w:rFonts w:hint="eastAsia" w:ascii="仿宋" w:hAnsi="仿宋" w:eastAsia="仿宋"/>
          <w:color w:val="auto"/>
          <w:sz w:val="28"/>
          <w:szCs w:val="28"/>
          <w:highlight w:val="none"/>
        </w:rPr>
        <w:t>），点击“公告”栏中的“招标信息”栏，查询采购信息，点击信息公告页面左下角“附件”即可浏览、下载采购文件。</w:t>
      </w:r>
    </w:p>
    <w:p>
      <w:pPr>
        <w:pStyle w:val="4"/>
        <w:spacing w:line="360" w:lineRule="auto"/>
        <w:ind w:firstLine="562" w:firstLineChars="200"/>
        <w:rPr>
          <w:rFonts w:ascii="仿宋" w:hAnsi="仿宋" w:eastAsia="仿宋"/>
          <w:color w:val="auto"/>
          <w:sz w:val="28"/>
          <w:szCs w:val="28"/>
          <w:highlight w:val="none"/>
        </w:rPr>
      </w:pPr>
      <w:bookmarkStart w:id="6" w:name="_Toc25502"/>
      <w:r>
        <w:rPr>
          <w:rFonts w:hint="eastAsia" w:ascii="仿宋" w:hAnsi="仿宋" w:eastAsia="仿宋"/>
          <w:color w:val="auto"/>
          <w:sz w:val="28"/>
          <w:szCs w:val="28"/>
          <w:highlight w:val="none"/>
        </w:rPr>
        <w:t>四、递交响应文件截止（评标）时间、地点</w:t>
      </w:r>
      <w:bookmarkEnd w:id="6"/>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递交响应文件截止（评标）时间：20</w:t>
      </w:r>
      <w:r>
        <w:rPr>
          <w:rFonts w:hint="eastAsia" w:ascii="仿宋" w:hAnsi="仿宋" w:eastAsia="仿宋"/>
          <w:color w:val="auto"/>
          <w:sz w:val="28"/>
          <w:szCs w:val="28"/>
          <w:highlight w:val="none"/>
          <w:lang w:val="en-US" w:eastAsia="zh-CN"/>
        </w:rPr>
        <w:t>22</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18</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lang w:val="en-US" w:eastAsia="zh-CN"/>
        </w:rPr>
        <w:t>下午17</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0</w:t>
      </w:r>
      <w:r>
        <w:rPr>
          <w:rFonts w:hint="eastAsia" w:ascii="仿宋" w:hAnsi="仿宋" w:eastAsia="仿宋"/>
          <w:color w:val="auto"/>
          <w:sz w:val="28"/>
          <w:szCs w:val="28"/>
          <w:highlight w:val="none"/>
        </w:rPr>
        <w:t>0</w:t>
      </w:r>
    </w:p>
    <w:p>
      <w:pPr>
        <w:spacing w:line="360" w:lineRule="auto"/>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响应文件时间开标及评标地点：20</w:t>
      </w:r>
      <w:r>
        <w:rPr>
          <w:rFonts w:hint="eastAsia" w:ascii="仿宋" w:hAnsi="仿宋" w:eastAsia="仿宋"/>
          <w:color w:val="auto"/>
          <w:sz w:val="28"/>
          <w:szCs w:val="28"/>
          <w:highlight w:val="none"/>
          <w:lang w:val="en-US" w:eastAsia="zh-CN"/>
        </w:rPr>
        <w:t>22</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19</w:t>
      </w:r>
      <w:r>
        <w:rPr>
          <w:rFonts w:hint="eastAsia" w:ascii="仿宋" w:hAnsi="仿宋" w:eastAsia="仿宋"/>
          <w:color w:val="auto"/>
          <w:sz w:val="28"/>
          <w:szCs w:val="28"/>
          <w:highlight w:val="none"/>
        </w:rPr>
        <w:t>日上午</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:30，鄂尔多斯飞机场综合办公楼2楼208开标室</w:t>
      </w:r>
      <w:r>
        <w:rPr>
          <w:rFonts w:hint="eastAsia" w:ascii="仿宋" w:hAnsi="仿宋" w:eastAsia="仿宋"/>
          <w:color w:val="auto"/>
          <w:sz w:val="28"/>
          <w:szCs w:val="28"/>
          <w:highlight w:val="none"/>
          <w:lang w:eastAsia="zh-CN"/>
        </w:rPr>
        <w:t>。</w:t>
      </w:r>
    </w:p>
    <w:p>
      <w:pPr>
        <w:spacing w:line="360" w:lineRule="auto"/>
        <w:ind w:firstLine="560" w:firstLineChars="200"/>
        <w:rPr>
          <w:rFonts w:hint="default"/>
          <w:color w:val="auto"/>
          <w:highlight w:val="none"/>
          <w:lang w:val="en-US" w:eastAsia="zh-CN"/>
        </w:rPr>
      </w:pPr>
      <w:r>
        <w:rPr>
          <w:rFonts w:hint="eastAsia" w:ascii="仿宋" w:hAnsi="仿宋" w:eastAsia="仿宋"/>
          <w:color w:val="auto"/>
          <w:sz w:val="28"/>
          <w:szCs w:val="28"/>
          <w:highlight w:val="none"/>
          <w:lang w:val="en-US" w:eastAsia="zh-CN"/>
        </w:rPr>
        <w:t>3.投标人应遵守国家相关新冠防疫要求及鄂尔多斯市当地新冠防疫要求，进入招标人所属楼宇，需要主动接受体温检测、出示“三码”，均正常后登记人员信息，正常进入；非正常人员不得进入招标人所属楼宇，可提前告知招标人，并进行视频谈判。</w:t>
      </w:r>
    </w:p>
    <w:p>
      <w:pPr>
        <w:pStyle w:val="4"/>
        <w:spacing w:line="360" w:lineRule="auto"/>
        <w:ind w:firstLine="551" w:firstLineChars="196"/>
        <w:rPr>
          <w:rFonts w:ascii="仿宋" w:hAnsi="仿宋" w:eastAsia="仿宋"/>
          <w:color w:val="auto"/>
          <w:sz w:val="28"/>
          <w:szCs w:val="28"/>
          <w:highlight w:val="none"/>
        </w:rPr>
      </w:pPr>
      <w:bookmarkStart w:id="7" w:name="_Toc5853"/>
      <w:r>
        <w:rPr>
          <w:rFonts w:hint="eastAsia" w:ascii="仿宋" w:hAnsi="仿宋" w:eastAsia="仿宋"/>
          <w:color w:val="auto"/>
          <w:sz w:val="28"/>
          <w:szCs w:val="28"/>
          <w:highlight w:val="none"/>
        </w:rPr>
        <w:t>五、联系方式</w:t>
      </w:r>
      <w:bookmarkEnd w:id="7"/>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联 系 人：何国栋</w:t>
      </w:r>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联系电话：0477-3855</w:t>
      </w:r>
      <w:r>
        <w:rPr>
          <w:rFonts w:hint="eastAsia" w:ascii="仿宋" w:hAnsi="仿宋" w:eastAsia="仿宋"/>
          <w:color w:val="auto"/>
          <w:kern w:val="2"/>
          <w:sz w:val="28"/>
          <w:szCs w:val="28"/>
          <w:highlight w:val="none"/>
          <w:lang w:val="en-US" w:eastAsia="zh-CN"/>
        </w:rPr>
        <w:t>615</w:t>
      </w:r>
      <w:r>
        <w:rPr>
          <w:rFonts w:hint="eastAsia" w:ascii="仿宋" w:hAnsi="仿宋" w:eastAsia="仿宋"/>
          <w:color w:val="auto"/>
          <w:kern w:val="2"/>
          <w:sz w:val="28"/>
          <w:szCs w:val="28"/>
          <w:highlight w:val="none"/>
        </w:rPr>
        <w:t xml:space="preserve"> </w:t>
      </w:r>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地    址：鄂尔多斯市伊金霍洛旗飞机场</w:t>
      </w: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pStyle w:val="2"/>
        <w:rPr>
          <w:rFonts w:ascii="仿宋" w:hAnsi="仿宋" w:eastAsia="仿宋"/>
          <w:color w:val="auto"/>
          <w:sz w:val="28"/>
          <w:szCs w:val="28"/>
          <w:highlight w:val="none"/>
        </w:rPr>
      </w:pPr>
    </w:p>
    <w:p>
      <w:pPr>
        <w:pStyle w:val="2"/>
        <w:rPr>
          <w:rFonts w:ascii="仿宋" w:hAnsi="仿宋" w:eastAsia="仿宋"/>
          <w:color w:val="auto"/>
          <w:sz w:val="28"/>
          <w:szCs w:val="28"/>
          <w:highlight w:val="none"/>
        </w:rPr>
      </w:pPr>
    </w:p>
    <w:p>
      <w:pPr>
        <w:spacing w:line="360" w:lineRule="auto"/>
        <w:rPr>
          <w:rFonts w:ascii="仿宋" w:hAnsi="仿宋" w:eastAsia="仿宋"/>
          <w:color w:val="auto"/>
          <w:sz w:val="28"/>
          <w:szCs w:val="28"/>
          <w:highlight w:val="none"/>
        </w:rPr>
      </w:pPr>
    </w:p>
    <w:p>
      <w:pPr>
        <w:pStyle w:val="3"/>
        <w:spacing w:line="360" w:lineRule="auto"/>
        <w:rPr>
          <w:rFonts w:ascii="仿宋" w:hAnsi="仿宋" w:eastAsia="仿宋"/>
          <w:color w:val="auto"/>
          <w:highlight w:val="none"/>
        </w:rPr>
      </w:pPr>
      <w:bookmarkStart w:id="8" w:name="_Toc9153"/>
      <w:r>
        <w:rPr>
          <w:rFonts w:hint="eastAsia" w:ascii="仿宋" w:hAnsi="仿宋" w:eastAsia="仿宋"/>
          <w:color w:val="auto"/>
          <w:highlight w:val="none"/>
        </w:rPr>
        <w:t>第二章  采购内容与技术要求</w:t>
      </w:r>
      <w:bookmarkEnd w:id="8"/>
    </w:p>
    <w:p>
      <w:pPr>
        <w:pStyle w:val="4"/>
        <w:spacing w:line="360" w:lineRule="auto"/>
        <w:ind w:firstLine="562" w:firstLineChars="200"/>
        <w:rPr>
          <w:rFonts w:ascii="仿宋" w:hAnsi="仿宋" w:eastAsia="仿宋"/>
          <w:color w:val="auto"/>
          <w:sz w:val="28"/>
          <w:highlight w:val="none"/>
        </w:rPr>
      </w:pPr>
      <w:bookmarkStart w:id="9" w:name="_Toc406421928"/>
      <w:bookmarkStart w:id="10" w:name="_Toc31137"/>
      <w:r>
        <w:rPr>
          <w:rFonts w:hint="eastAsia" w:ascii="仿宋" w:hAnsi="仿宋" w:eastAsia="仿宋"/>
          <w:color w:val="auto"/>
          <w:sz w:val="28"/>
          <w:highlight w:val="none"/>
        </w:rPr>
        <w:t>一、项目说明</w:t>
      </w:r>
      <w:bookmarkEnd w:id="9"/>
      <w:bookmarkEnd w:id="1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 w:hAnsi="仿宋" w:eastAsia="仿宋" w:cs="宋体"/>
          <w:bCs/>
          <w:color w:val="auto"/>
          <w:kern w:val="0"/>
          <w:sz w:val="28"/>
          <w:highlight w:val="none"/>
        </w:rPr>
      </w:pPr>
      <w:r>
        <w:rPr>
          <w:rFonts w:hint="eastAsia" w:ascii="仿宋" w:hAnsi="仿宋" w:eastAsia="仿宋" w:cs="宋体"/>
          <w:bCs/>
          <w:color w:val="auto"/>
          <w:kern w:val="0"/>
          <w:sz w:val="28"/>
          <w:highlight w:val="none"/>
        </w:rPr>
        <w:t>1</w:t>
      </w:r>
      <w:r>
        <w:rPr>
          <w:rFonts w:hint="eastAsia" w:ascii="仿宋" w:hAnsi="仿宋" w:eastAsia="仿宋" w:cs="宋体"/>
          <w:bCs/>
          <w:color w:val="auto"/>
          <w:kern w:val="0"/>
          <w:sz w:val="28"/>
          <w:highlight w:val="none"/>
          <w:lang w:val="en-US" w:eastAsia="zh-CN"/>
        </w:rPr>
        <w:t>.</w:t>
      </w:r>
      <w:r>
        <w:rPr>
          <w:rFonts w:hint="eastAsia" w:ascii="仿宋" w:hAnsi="仿宋" w:eastAsia="仿宋" w:cs="宋体"/>
          <w:bCs/>
          <w:color w:val="auto"/>
          <w:kern w:val="0"/>
          <w:sz w:val="28"/>
          <w:highlight w:val="none"/>
        </w:rPr>
        <w:t>采购范围：</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宋体"/>
          <w:bCs/>
          <w:color w:val="auto"/>
          <w:kern w:val="0"/>
          <w:sz w:val="28"/>
          <w:highlight w:val="none"/>
          <w:lang w:val="en-US" w:eastAsia="zh-CN"/>
        </w:rPr>
      </w:pPr>
      <w:r>
        <w:rPr>
          <w:rFonts w:hint="eastAsia" w:ascii="仿宋" w:hAnsi="仿宋" w:eastAsia="仿宋" w:cs="宋体"/>
          <w:bCs/>
          <w:color w:val="auto"/>
          <w:kern w:val="0"/>
          <w:sz w:val="28"/>
          <w:highlight w:val="none"/>
          <w:lang w:val="en-US" w:eastAsia="zh-CN"/>
        </w:rPr>
        <w:t>对贵宾保障用具进行采购，按照要求提供手绘骨质瓷器具。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宋体"/>
          <w:bCs/>
          <w:color w:val="auto"/>
          <w:kern w:val="0"/>
          <w:sz w:val="28"/>
          <w:highlight w:val="none"/>
          <w:lang w:val="en-US" w:eastAsia="zh-CN"/>
        </w:rPr>
      </w:pPr>
      <w:r>
        <w:rPr>
          <w:rFonts w:hint="eastAsia" w:ascii="仿宋" w:hAnsi="仿宋" w:eastAsia="仿宋" w:cs="宋体"/>
          <w:bCs/>
          <w:color w:val="auto"/>
          <w:kern w:val="0"/>
          <w:sz w:val="28"/>
          <w:highlight w:val="none"/>
          <w:lang w:val="en-US" w:eastAsia="zh-CN"/>
        </w:rPr>
        <w:t>2.</w:t>
      </w:r>
      <w:r>
        <w:rPr>
          <w:rFonts w:hint="eastAsia" w:ascii="仿宋" w:hAnsi="仿宋" w:eastAsia="仿宋" w:cs="宋体"/>
          <w:bCs/>
          <w:color w:val="auto"/>
          <w:kern w:val="0"/>
          <w:sz w:val="28"/>
          <w:highlight w:val="none"/>
        </w:rPr>
        <w:t>付款方式：</w:t>
      </w:r>
      <w:r>
        <w:rPr>
          <w:rFonts w:hint="eastAsia" w:ascii="仿宋" w:hAnsi="仿宋" w:eastAsia="仿宋" w:cs="宋体"/>
          <w:bCs/>
          <w:color w:val="auto"/>
          <w:kern w:val="0"/>
          <w:sz w:val="28"/>
          <w:highlight w:val="none"/>
          <w:lang w:val="en-US" w:eastAsia="zh-CN"/>
        </w:rPr>
        <w:t>投标人中标后签订供货合同，试用期结束后，一次性提供货物并进行验收后，支付100%合同款项。</w:t>
      </w:r>
    </w:p>
    <w:p>
      <w:pPr>
        <w:pStyle w:val="2"/>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color w:val="auto"/>
          <w:highlight w:val="none"/>
          <w:lang w:val="en-US" w:eastAsia="zh-CN"/>
        </w:rPr>
      </w:pPr>
      <w:r>
        <w:rPr>
          <w:rFonts w:hint="eastAsia"/>
          <w:color w:val="auto"/>
          <w:highlight w:val="none"/>
          <w:lang w:val="en-US" w:eastAsia="zh-CN"/>
        </w:rPr>
        <w:t xml:space="preserve"> </w:t>
      </w:r>
      <w:r>
        <w:rPr>
          <w:rFonts w:hint="eastAsia" w:ascii="仿宋" w:hAnsi="仿宋" w:eastAsia="仿宋" w:cs="宋体"/>
          <w:bCs/>
          <w:color w:val="auto"/>
          <w:kern w:val="0"/>
          <w:sz w:val="28"/>
          <w:szCs w:val="21"/>
          <w:highlight w:val="none"/>
          <w:lang w:val="en-US" w:eastAsia="zh-CN" w:bidi="ar-SA"/>
        </w:rPr>
        <w:t>3.交货时间：合同签订后一个月内交货。</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ascii="仿宋" w:hAnsi="仿宋" w:eastAsia="仿宋" w:cs="宋体"/>
          <w:bCs/>
          <w:color w:val="auto"/>
          <w:kern w:val="0"/>
          <w:sz w:val="28"/>
          <w:highlight w:val="none"/>
        </w:rPr>
      </w:pPr>
      <w:r>
        <w:rPr>
          <w:rFonts w:hint="eastAsia" w:ascii="仿宋" w:hAnsi="仿宋" w:eastAsia="仿宋" w:cs="宋体"/>
          <w:bCs/>
          <w:color w:val="auto"/>
          <w:kern w:val="0"/>
          <w:sz w:val="28"/>
          <w:highlight w:val="none"/>
        </w:rPr>
        <w:t>4</w:t>
      </w:r>
      <w:r>
        <w:rPr>
          <w:rFonts w:hint="eastAsia" w:ascii="仿宋" w:hAnsi="仿宋" w:eastAsia="仿宋" w:cs="宋体"/>
          <w:bCs/>
          <w:color w:val="auto"/>
          <w:kern w:val="0"/>
          <w:sz w:val="28"/>
          <w:highlight w:val="none"/>
          <w:lang w:val="en-US" w:eastAsia="zh-CN"/>
        </w:rPr>
        <w:t>.</w:t>
      </w:r>
      <w:r>
        <w:rPr>
          <w:rFonts w:hint="eastAsia" w:ascii="仿宋" w:hAnsi="仿宋" w:eastAsia="仿宋" w:cs="宋体"/>
          <w:bCs/>
          <w:color w:val="auto"/>
          <w:kern w:val="0"/>
          <w:sz w:val="28"/>
          <w:highlight w:val="none"/>
        </w:rPr>
        <w:t>发票要求：增值税专用发票</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textAlignment w:val="auto"/>
        <w:outlineLvl w:val="1"/>
        <w:rPr>
          <w:rFonts w:hint="eastAsia" w:ascii="仿宋" w:hAnsi="仿宋" w:eastAsia="仿宋" w:cs="Cambria"/>
          <w:b/>
          <w:bCs/>
          <w:color w:val="auto"/>
          <w:kern w:val="0"/>
          <w:sz w:val="28"/>
          <w:szCs w:val="32"/>
          <w:highlight w:val="none"/>
          <w:lang w:val="en-US" w:eastAsia="zh-CN" w:bidi="ar-SA"/>
        </w:rPr>
      </w:pPr>
      <w:bookmarkStart w:id="11" w:name="_Toc28941"/>
      <w:r>
        <w:rPr>
          <w:rFonts w:hint="eastAsia" w:ascii="仿宋" w:hAnsi="仿宋" w:eastAsia="仿宋" w:cs="Cambria"/>
          <w:b/>
          <w:bCs/>
          <w:color w:val="auto"/>
          <w:kern w:val="0"/>
          <w:sz w:val="28"/>
          <w:szCs w:val="32"/>
          <w:highlight w:val="none"/>
          <w:lang w:val="en-US" w:eastAsia="zh-CN" w:bidi="ar-SA"/>
        </w:rPr>
        <w:t>二、详细参数：</w:t>
      </w:r>
      <w:bookmarkEnd w:id="11"/>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 w:hAnsi="仿宋" w:eastAsia="仿宋" w:cs="Cambria"/>
          <w:b/>
          <w:bCs/>
          <w:color w:val="auto"/>
          <w:kern w:val="0"/>
          <w:sz w:val="28"/>
          <w:szCs w:val="32"/>
          <w:highlight w:val="none"/>
          <w:lang w:val="en-US" w:eastAsia="zh-CN" w:bidi="ar-SA"/>
        </w:rPr>
      </w:pPr>
      <w:r>
        <w:rPr>
          <w:rFonts w:hint="eastAsia" w:ascii="仿宋_GB2312" w:hAnsi="仿宋_GB2312" w:eastAsia="仿宋_GB2312" w:cs="仿宋_GB2312"/>
          <w:color w:val="auto"/>
          <w:sz w:val="28"/>
          <w:szCs w:val="28"/>
          <w:highlight w:val="none"/>
          <w:lang w:val="en-US" w:eastAsia="zh-CN"/>
        </w:rPr>
        <w:t>（一）项目简述</w:t>
      </w:r>
    </w:p>
    <w:tbl>
      <w:tblPr>
        <w:tblStyle w:val="11"/>
        <w:tblW w:w="114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9"/>
        <w:gridCol w:w="975"/>
        <w:gridCol w:w="3140"/>
        <w:gridCol w:w="1007"/>
        <w:gridCol w:w="739"/>
        <w:gridCol w:w="964"/>
        <w:gridCol w:w="686"/>
        <w:gridCol w:w="814"/>
        <w:gridCol w:w="23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85" w:hRule="atLeast"/>
          <w:jc w:val="center"/>
        </w:trPr>
        <w:tc>
          <w:tcPr>
            <w:tcW w:w="11411" w:type="dxa"/>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b/>
                <w:bCs/>
                <w:i w:val="0"/>
                <w:iCs w:val="0"/>
                <w:color w:val="auto"/>
                <w:sz w:val="18"/>
                <w:szCs w:val="18"/>
                <w:highlight w:val="none"/>
                <w:u w:val="none"/>
                <w:lang w:val="en-US"/>
              </w:rPr>
            </w:pPr>
            <w:r>
              <w:rPr>
                <w:rFonts w:hint="eastAsia" w:ascii="等线" w:hAnsi="等线" w:eastAsia="等线" w:cs="等线"/>
                <w:b/>
                <w:bCs/>
                <w:i w:val="0"/>
                <w:iCs w:val="0"/>
                <w:color w:val="auto"/>
                <w:kern w:val="0"/>
                <w:sz w:val="18"/>
                <w:szCs w:val="18"/>
                <w:highlight w:val="none"/>
                <w:u w:val="none"/>
                <w:lang w:val="en-US" w:eastAsia="zh-CN" w:bidi="ar"/>
              </w:rPr>
              <w:t>需求清单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序号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产品名称</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规格尺寸</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花面参考</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单位</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 xml:space="preserve">数量 </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单价</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金额</w:t>
            </w: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参考图片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会议盖杯</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1.盖杯+花揪盖+底碟</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2.尺寸：直径8.5cm，高9cm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套</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277</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等线" w:hAnsi="等线" w:eastAsia="等线" w:cs="等线"/>
                <w:i w:val="0"/>
                <w:iCs w:val="0"/>
                <w:color w:val="auto"/>
                <w:sz w:val="18"/>
                <w:szCs w:val="18"/>
                <w:highlight w:val="none"/>
                <w:u w:val="none"/>
                <w:lang w:eastAsia="zh-CN"/>
              </w:rPr>
            </w:pPr>
            <w:r>
              <w:rPr>
                <w:rFonts w:hint="eastAsia" w:ascii="等线" w:hAnsi="等线" w:eastAsia="等线" w:cs="等线"/>
                <w:b/>
                <w:bCs/>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702945</wp:posOffset>
                  </wp:positionH>
                  <wp:positionV relativeFrom="paragraph">
                    <wp:posOffset>84455</wp:posOffset>
                  </wp:positionV>
                  <wp:extent cx="614680" cy="672465"/>
                  <wp:effectExtent l="0" t="0" r="13970" b="13335"/>
                  <wp:wrapNone/>
                  <wp:docPr id="6" name="Picture_4"/>
                  <wp:cNvGraphicFramePr/>
                  <a:graphic xmlns:a="http://schemas.openxmlformats.org/drawingml/2006/main">
                    <a:graphicData uri="http://schemas.openxmlformats.org/drawingml/2006/picture">
                      <pic:pic xmlns:pic="http://schemas.openxmlformats.org/drawingml/2006/picture">
                        <pic:nvPicPr>
                          <pic:cNvPr id="6" name="Picture_4"/>
                          <pic:cNvPicPr/>
                        </pic:nvPicPr>
                        <pic:blipFill>
                          <a:blip r:embed="rId5"/>
                          <a:stretch>
                            <a:fillRect/>
                          </a:stretch>
                        </pic:blipFill>
                        <pic:spPr>
                          <a:xfrm>
                            <a:off x="0" y="0"/>
                            <a:ext cx="614680" cy="672465"/>
                          </a:xfrm>
                          <a:prstGeom prst="roundRect">
                            <a:avLst/>
                          </a:prstGeom>
                          <a:noFill/>
                          <a:ln>
                            <a:noFill/>
                          </a:ln>
                        </pic:spPr>
                      </pic:pic>
                    </a:graphicData>
                  </a:graphic>
                </wp:anchor>
              </w:drawing>
            </w:r>
            <w:r>
              <w:rPr>
                <w:rFonts w:hint="eastAsia" w:ascii="等线" w:hAnsi="等线" w:eastAsia="等线" w:cs="等线"/>
                <w:i w:val="0"/>
                <w:iCs w:val="0"/>
                <w:color w:val="auto"/>
                <w:sz w:val="18"/>
                <w:szCs w:val="18"/>
                <w:highlight w:val="none"/>
                <w:u w:val="none"/>
                <w:lang w:eastAsia="zh-CN"/>
              </w:rPr>
              <w:drawing>
                <wp:inline distT="0" distB="0" distL="114300" distR="114300">
                  <wp:extent cx="602615" cy="692785"/>
                  <wp:effectExtent l="0" t="0" r="6985" b="12065"/>
                  <wp:docPr id="7" name="图片 7" descr="16448209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44820952(1)"/>
                          <pic:cNvPicPr>
                            <a:picLocks noChangeAspect="1"/>
                          </pic:cNvPicPr>
                        </pic:nvPicPr>
                        <pic:blipFill>
                          <a:blip r:embed="rId6"/>
                          <a:stretch>
                            <a:fillRect/>
                          </a:stretch>
                        </pic:blipFill>
                        <pic:spPr>
                          <a:xfrm>
                            <a:off x="0" y="0"/>
                            <a:ext cx="602615" cy="692785"/>
                          </a:xfrm>
                          <a:prstGeom prst="round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2</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会议盖杯</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1.盖杯+花揪盖+底碟</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2.尺寸：直径8.5cm，高9cm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望海潮</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auto"/>
                <w:kern w:val="0"/>
                <w:sz w:val="18"/>
                <w:szCs w:val="18"/>
                <w:highlight w:val="none"/>
                <w:u w:val="none"/>
                <w:lang w:val="en-US" w:eastAsia="zh-CN" w:bidi="ar"/>
              </w:rPr>
            </w:pPr>
            <w:r>
              <w:rPr>
                <w:rFonts w:hint="eastAsia" w:ascii="等线" w:hAnsi="等线" w:eastAsia="等线" w:cs="等线"/>
                <w:i w:val="0"/>
                <w:iCs w:val="0"/>
                <w:color w:val="auto"/>
                <w:kern w:val="0"/>
                <w:sz w:val="18"/>
                <w:szCs w:val="18"/>
                <w:highlight w:val="none"/>
                <w:u w:val="none"/>
                <w:lang w:val="en-US" w:eastAsia="zh-CN" w:bidi="ar"/>
              </w:rPr>
              <w:t>套</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b/>
                <w:bCs/>
                <w:i w:val="0"/>
                <w:iCs w:val="0"/>
                <w:color w:val="auto"/>
                <w:kern w:val="0"/>
                <w:sz w:val="18"/>
                <w:szCs w:val="18"/>
                <w:highlight w:val="none"/>
                <w:u w:val="none"/>
                <w:lang w:val="en-US" w:eastAsia="zh-CN" w:bidi="ar"/>
              </w:rPr>
            </w:pPr>
            <w:r>
              <w:rPr>
                <w:rFonts w:hint="eastAsia" w:ascii="等线" w:hAnsi="等线" w:eastAsia="等线" w:cs="等线"/>
                <w:b/>
                <w:bCs/>
                <w:i w:val="0"/>
                <w:iCs w:val="0"/>
                <w:color w:val="auto"/>
                <w:kern w:val="0"/>
                <w:sz w:val="18"/>
                <w:szCs w:val="18"/>
                <w:highlight w:val="none"/>
                <w:u w:val="none"/>
                <w:lang w:val="en-US" w:eastAsia="zh-CN" w:bidi="ar"/>
              </w:rPr>
              <w:t>50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等线" w:hAnsi="等线" w:eastAsia="等线" w:cs="等线"/>
                <w:b/>
                <w:bCs/>
                <w:i w:val="0"/>
                <w:iCs w:val="0"/>
                <w:color w:val="auto"/>
                <w:kern w:val="0"/>
                <w:sz w:val="18"/>
                <w:szCs w:val="18"/>
                <w:highlight w:val="none"/>
                <w:u w:val="none"/>
                <w:bdr w:val="single" w:color="000000" w:sz="4" w:space="0"/>
                <w:lang w:val="en-US" w:eastAsia="zh-CN" w:bidi="ar"/>
              </w:rPr>
            </w:pPr>
            <w:r>
              <w:rPr>
                <w:rFonts w:hint="eastAsia" w:ascii="等线" w:hAnsi="等线" w:eastAsia="等线" w:cs="等线"/>
                <w:b/>
                <w:bCs/>
                <w:i w:val="0"/>
                <w:iCs w:val="0"/>
                <w:color w:val="auto"/>
                <w:kern w:val="0"/>
                <w:sz w:val="18"/>
                <w:szCs w:val="18"/>
                <w:highlight w:val="none"/>
                <w:u w:val="none"/>
                <w:bdr w:val="single" w:color="000000" w:sz="4" w:space="0"/>
                <w:lang w:val="en-US" w:eastAsia="zh-CN" w:bidi="ar"/>
              </w:rPr>
              <w:drawing>
                <wp:inline distT="0" distB="0" distL="114300" distR="114300">
                  <wp:extent cx="854710" cy="933450"/>
                  <wp:effectExtent l="0" t="0" r="2540" b="0"/>
                  <wp:docPr id="12" name="图片 12" descr="lADPJx8ZvjOJyiXNA-jNAu4_750_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lADPJx8ZvjOJyiXNA-jNAu4_750_1000"/>
                          <pic:cNvPicPr>
                            <a:picLocks noChangeAspect="1"/>
                          </pic:cNvPicPr>
                        </pic:nvPicPr>
                        <pic:blipFill>
                          <a:blip r:embed="rId7"/>
                          <a:srcRect l="20461" t="29101" r="16228" b="19048"/>
                          <a:stretch>
                            <a:fillRect/>
                          </a:stretch>
                        </pic:blipFill>
                        <pic:spPr>
                          <a:xfrm>
                            <a:off x="0" y="0"/>
                            <a:ext cx="854710" cy="93345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3</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毛巾碟</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1.长毛巾托</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2.长*宽*高，15.5cm*9cm*3cm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277</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57150</wp:posOffset>
                  </wp:positionH>
                  <wp:positionV relativeFrom="paragraph">
                    <wp:posOffset>94615</wp:posOffset>
                  </wp:positionV>
                  <wp:extent cx="799465" cy="495935"/>
                  <wp:effectExtent l="0" t="0" r="635" b="18415"/>
                  <wp:wrapNone/>
                  <wp:docPr id="2" name="图片_2"/>
                  <wp:cNvGraphicFramePr/>
                  <a:graphic xmlns:a="http://schemas.openxmlformats.org/drawingml/2006/main">
                    <a:graphicData uri="http://schemas.openxmlformats.org/drawingml/2006/picture">
                      <pic:pic xmlns:pic="http://schemas.openxmlformats.org/drawingml/2006/picture">
                        <pic:nvPicPr>
                          <pic:cNvPr id="2" name="图片_2"/>
                          <pic:cNvPicPr/>
                        </pic:nvPicPr>
                        <pic:blipFill>
                          <a:blip r:embed="rId8"/>
                          <a:stretch>
                            <a:fillRect/>
                          </a:stretch>
                        </pic:blipFill>
                        <pic:spPr>
                          <a:xfrm>
                            <a:off x="0" y="0"/>
                            <a:ext cx="799465" cy="495935"/>
                          </a:xfrm>
                          <a:prstGeom prst="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lang w:val="en-US" w:eastAsia="zh-CN"/>
              </w:rPr>
            </w:pPr>
            <w:r>
              <w:rPr>
                <w:rFonts w:hint="eastAsia" w:ascii="等线" w:hAnsi="等线" w:eastAsia="等线" w:cs="等线"/>
                <w:i w:val="0"/>
                <w:iCs w:val="0"/>
                <w:color w:val="auto"/>
                <w:sz w:val="18"/>
                <w:szCs w:val="18"/>
                <w:highlight w:val="none"/>
                <w:u w:val="none"/>
                <w:lang w:val="en-US" w:eastAsia="zh-CN"/>
              </w:rPr>
              <w:t>4</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咖啡杯+碟</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等线" w:hAnsi="等线" w:eastAsia="等线" w:cs="等线"/>
                <w:i w:val="0"/>
                <w:iCs w:val="0"/>
                <w:color w:val="auto"/>
                <w:sz w:val="18"/>
                <w:szCs w:val="18"/>
                <w:highlight w:val="none"/>
                <w:u w:val="none"/>
                <w:lang w:val="en-US"/>
              </w:rPr>
            </w:pPr>
            <w:r>
              <w:rPr>
                <w:rFonts w:hint="eastAsia" w:ascii="等线" w:hAnsi="等线" w:eastAsia="等线" w:cs="等线"/>
                <w:i w:val="0"/>
                <w:iCs w:val="0"/>
                <w:color w:val="auto"/>
                <w:kern w:val="0"/>
                <w:sz w:val="18"/>
                <w:szCs w:val="18"/>
                <w:highlight w:val="none"/>
                <w:u w:val="none"/>
                <w:lang w:val="en-US" w:eastAsia="zh-CN" w:bidi="ar"/>
              </w:rPr>
              <w:t>1.杯+碟</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2.尺寸：直径8.5cm，高6.5cm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套</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153</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737870</wp:posOffset>
                  </wp:positionH>
                  <wp:positionV relativeFrom="paragraph">
                    <wp:posOffset>624205</wp:posOffset>
                  </wp:positionV>
                  <wp:extent cx="646430" cy="640080"/>
                  <wp:effectExtent l="0" t="0" r="1270" b="7620"/>
                  <wp:wrapNone/>
                  <wp:docPr id="3" name="Picture_2"/>
                  <wp:cNvGraphicFramePr/>
                  <a:graphic xmlns:a="http://schemas.openxmlformats.org/drawingml/2006/main">
                    <a:graphicData uri="http://schemas.openxmlformats.org/drawingml/2006/picture">
                      <pic:pic xmlns:pic="http://schemas.openxmlformats.org/drawingml/2006/picture">
                        <pic:nvPicPr>
                          <pic:cNvPr id="3" name="Picture_2"/>
                          <pic:cNvPicPr/>
                        </pic:nvPicPr>
                        <pic:blipFill>
                          <a:blip r:embed="rId9"/>
                          <a:stretch>
                            <a:fillRect/>
                          </a:stretch>
                        </pic:blipFill>
                        <pic:spPr>
                          <a:xfrm>
                            <a:off x="0" y="0"/>
                            <a:ext cx="646430" cy="640080"/>
                          </a:xfrm>
                          <a:prstGeom prst="rect">
                            <a:avLst/>
                          </a:prstGeom>
                          <a:noFill/>
                          <a:ln>
                            <a:noFill/>
                          </a:ln>
                        </pic:spPr>
                      </pic:pic>
                    </a:graphicData>
                  </a:graphic>
                </wp:anchor>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712470</wp:posOffset>
                  </wp:positionH>
                  <wp:positionV relativeFrom="paragraph">
                    <wp:posOffset>33020</wp:posOffset>
                  </wp:positionV>
                  <wp:extent cx="671195" cy="520065"/>
                  <wp:effectExtent l="0" t="0" r="14605" b="13335"/>
                  <wp:wrapNone/>
                  <wp:docPr id="1" name="Picture_5"/>
                  <wp:cNvGraphicFramePr/>
                  <a:graphic xmlns:a="http://schemas.openxmlformats.org/drawingml/2006/main">
                    <a:graphicData uri="http://schemas.openxmlformats.org/drawingml/2006/picture">
                      <pic:pic xmlns:pic="http://schemas.openxmlformats.org/drawingml/2006/picture">
                        <pic:nvPicPr>
                          <pic:cNvPr id="1" name="Picture_5"/>
                          <pic:cNvPicPr/>
                        </pic:nvPicPr>
                        <pic:blipFill>
                          <a:blip r:embed="rId10"/>
                          <a:stretch>
                            <a:fillRect/>
                          </a:stretch>
                        </pic:blipFill>
                        <pic:spPr>
                          <a:xfrm>
                            <a:off x="0" y="0"/>
                            <a:ext cx="671195" cy="520065"/>
                          </a:xfrm>
                          <a:prstGeom prst="rect">
                            <a:avLst/>
                          </a:prstGeom>
                          <a:noFill/>
                          <a:ln>
                            <a:noFill/>
                          </a:ln>
                        </pic:spPr>
                      </pic:pic>
                    </a:graphicData>
                  </a:graphic>
                </wp:anchor>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687070" cy="581660"/>
                  <wp:effectExtent l="0" t="0" r="17780" b="8890"/>
                  <wp:docPr id="8" name="图片 8" descr="16448209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44820997(1)"/>
                          <pic:cNvPicPr>
                            <a:picLocks noChangeAspect="1"/>
                          </pic:cNvPicPr>
                        </pic:nvPicPr>
                        <pic:blipFill>
                          <a:blip r:embed="rId11"/>
                          <a:stretch>
                            <a:fillRect/>
                          </a:stretch>
                        </pic:blipFill>
                        <pic:spPr>
                          <a:xfrm>
                            <a:off x="0" y="0"/>
                            <a:ext cx="687070" cy="581660"/>
                          </a:xfrm>
                          <a:prstGeom prst="round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甜品盘</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6寸平盘</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40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561340" cy="508635"/>
                  <wp:effectExtent l="0" t="0" r="10160" b="5715"/>
                  <wp:docPr id="9" name="图片 9" descr="164482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44821025"/>
                          <pic:cNvPicPr>
                            <a:picLocks noChangeAspect="1"/>
                          </pic:cNvPicPr>
                        </pic:nvPicPr>
                        <pic:blipFill>
                          <a:blip r:embed="rId12"/>
                          <a:stretch>
                            <a:fillRect/>
                          </a:stretch>
                        </pic:blipFill>
                        <pic:spPr>
                          <a:xfrm>
                            <a:off x="0" y="0"/>
                            <a:ext cx="561340" cy="508635"/>
                          </a:xfrm>
                          <a:prstGeom prst="ellipse">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6</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糖缸</w:t>
            </w:r>
          </w:p>
        </w:tc>
        <w:tc>
          <w:tcPr>
            <w:tcW w:w="3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1.直身糖缸</w:t>
            </w:r>
            <w:r>
              <w:rPr>
                <w:rFonts w:hint="eastAsia" w:ascii="等线" w:hAnsi="等线" w:eastAsia="等线" w:cs="等线"/>
                <w:i w:val="0"/>
                <w:iCs w:val="0"/>
                <w:color w:val="auto"/>
                <w:kern w:val="0"/>
                <w:sz w:val="18"/>
                <w:szCs w:val="18"/>
                <w:highlight w:val="none"/>
                <w:u w:val="none"/>
                <w:lang w:val="en-US" w:eastAsia="zh-CN" w:bidi="ar"/>
              </w:rPr>
              <w:br w:type="textWrapping"/>
            </w:r>
            <w:r>
              <w:rPr>
                <w:rFonts w:hint="eastAsia" w:ascii="等线" w:hAnsi="等线" w:eastAsia="等线" w:cs="等线"/>
                <w:i w:val="0"/>
                <w:iCs w:val="0"/>
                <w:color w:val="auto"/>
                <w:kern w:val="0"/>
                <w:sz w:val="18"/>
                <w:szCs w:val="18"/>
                <w:highlight w:val="none"/>
                <w:u w:val="none"/>
                <w:lang w:val="en-US" w:eastAsia="zh-CN" w:bidi="ar"/>
              </w:rPr>
              <w:t>2.尺寸：长*宽*高，7.5cm*10cm*5cm</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20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729615" cy="489585"/>
                  <wp:effectExtent l="0" t="0" r="13335" b="5715"/>
                  <wp:docPr id="11" name="图片 11" descr="1644821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44821137(1)"/>
                          <pic:cNvPicPr>
                            <a:picLocks noChangeAspect="1"/>
                          </pic:cNvPicPr>
                        </pic:nvPicPr>
                        <pic:blipFill>
                          <a:blip r:embed="rId13"/>
                          <a:stretch>
                            <a:fillRect/>
                          </a:stretch>
                        </pic:blipFill>
                        <pic:spPr>
                          <a:xfrm>
                            <a:off x="0" y="0"/>
                            <a:ext cx="729615" cy="489585"/>
                          </a:xfrm>
                          <a:prstGeom prst="rect">
                            <a:avLst/>
                          </a:prstGeom>
                        </pic:spPr>
                      </pic:pic>
                    </a:graphicData>
                  </a:graphic>
                </wp:inline>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720090</wp:posOffset>
                  </wp:positionH>
                  <wp:positionV relativeFrom="paragraph">
                    <wp:posOffset>7620</wp:posOffset>
                  </wp:positionV>
                  <wp:extent cx="714375" cy="598805"/>
                  <wp:effectExtent l="0" t="0" r="9525" b="10795"/>
                  <wp:wrapNone/>
                  <wp:docPr id="5" name="Picture_1"/>
                  <wp:cNvGraphicFramePr/>
                  <a:graphic xmlns:a="http://schemas.openxmlformats.org/drawingml/2006/main">
                    <a:graphicData uri="http://schemas.openxmlformats.org/drawingml/2006/picture">
                      <pic:pic xmlns:pic="http://schemas.openxmlformats.org/drawingml/2006/picture">
                        <pic:nvPicPr>
                          <pic:cNvPr id="5" name="Picture_1"/>
                          <pic:cNvPicPr/>
                        </pic:nvPicPr>
                        <pic:blipFill>
                          <a:blip r:embed="rId14"/>
                          <a:stretch>
                            <a:fillRect/>
                          </a:stretch>
                        </pic:blipFill>
                        <pic:spPr>
                          <a:xfrm>
                            <a:off x="0" y="0"/>
                            <a:ext cx="714375" cy="598805"/>
                          </a:xfrm>
                          <a:prstGeom prst="roundRect">
                            <a:avLst/>
                          </a:prstGeom>
                          <a:noFill/>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7</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烟缸</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3.5寸烟缸</w:t>
            </w:r>
          </w:p>
        </w:tc>
        <w:tc>
          <w:tcPr>
            <w:tcW w:w="10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瑶枝玉兰</w:t>
            </w:r>
          </w:p>
        </w:tc>
        <w:tc>
          <w:tcPr>
            <w:tcW w:w="7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件</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b/>
                <w:bCs/>
                <w:i w:val="0"/>
                <w:iCs w:val="0"/>
                <w:color w:val="auto"/>
                <w:sz w:val="18"/>
                <w:szCs w:val="18"/>
                <w:highlight w:val="none"/>
                <w:u w:val="none"/>
              </w:rPr>
            </w:pPr>
            <w:r>
              <w:rPr>
                <w:rFonts w:hint="eastAsia" w:ascii="等线" w:hAnsi="等线" w:eastAsia="等线" w:cs="等线"/>
                <w:b/>
                <w:bCs/>
                <w:i w:val="0"/>
                <w:iCs w:val="0"/>
                <w:color w:val="auto"/>
                <w:kern w:val="0"/>
                <w:sz w:val="18"/>
                <w:szCs w:val="18"/>
                <w:highlight w:val="none"/>
                <w:u w:val="none"/>
                <w:lang w:val="en-US" w:eastAsia="zh-CN" w:bidi="ar"/>
              </w:rPr>
              <w:t>50</w:t>
            </w:r>
          </w:p>
        </w:tc>
        <w:tc>
          <w:tcPr>
            <w:tcW w:w="6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p>
        </w:tc>
        <w:tc>
          <w:tcPr>
            <w:tcW w:w="2347"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747395</wp:posOffset>
                  </wp:positionH>
                  <wp:positionV relativeFrom="paragraph">
                    <wp:posOffset>128270</wp:posOffset>
                  </wp:positionV>
                  <wp:extent cx="632460" cy="559435"/>
                  <wp:effectExtent l="0" t="0" r="15240" b="12065"/>
                  <wp:wrapNone/>
                  <wp:docPr id="4" name="Picture_3"/>
                  <wp:cNvGraphicFramePr/>
                  <a:graphic xmlns:a="http://schemas.openxmlformats.org/drawingml/2006/main">
                    <a:graphicData uri="http://schemas.openxmlformats.org/drawingml/2006/picture">
                      <pic:pic xmlns:pic="http://schemas.openxmlformats.org/drawingml/2006/picture">
                        <pic:nvPicPr>
                          <pic:cNvPr id="4" name="Picture_3"/>
                          <pic:cNvPicPr/>
                        </pic:nvPicPr>
                        <pic:blipFill>
                          <a:blip r:embed="rId15"/>
                          <a:stretch>
                            <a:fillRect/>
                          </a:stretch>
                        </pic:blipFill>
                        <pic:spPr>
                          <a:xfrm>
                            <a:off x="0" y="0"/>
                            <a:ext cx="632460" cy="559435"/>
                          </a:xfrm>
                          <a:prstGeom prst="rect">
                            <a:avLst/>
                          </a:prstGeom>
                          <a:noFill/>
                          <a:ln>
                            <a:noFill/>
                          </a:ln>
                        </pic:spPr>
                      </pic:pic>
                    </a:graphicData>
                  </a:graphic>
                </wp:anchor>
              </w:drawing>
            </w:r>
            <w:r>
              <w:rPr>
                <w:rFonts w:hint="eastAsia" w:ascii="等线" w:hAnsi="等线" w:eastAsia="等线" w:cs="等线"/>
                <w:i w:val="0"/>
                <w:iCs w:val="0"/>
                <w:color w:val="auto"/>
                <w:kern w:val="0"/>
                <w:sz w:val="18"/>
                <w:szCs w:val="18"/>
                <w:highlight w:val="none"/>
                <w:u w:val="none"/>
                <w:bdr w:val="single" w:color="000000" w:sz="4" w:space="0"/>
                <w:lang w:val="en-US" w:eastAsia="zh-CN" w:bidi="ar"/>
              </w:rPr>
              <w:drawing>
                <wp:inline distT="0" distB="0" distL="114300" distR="114300">
                  <wp:extent cx="737870" cy="666115"/>
                  <wp:effectExtent l="0" t="0" r="5080" b="635"/>
                  <wp:docPr id="10" name="图片 10" descr="16448210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44821097(1)"/>
                          <pic:cNvPicPr>
                            <a:picLocks noChangeAspect="1"/>
                          </pic:cNvPicPr>
                        </pic:nvPicPr>
                        <pic:blipFill>
                          <a:blip r:embed="rId16"/>
                          <a:stretch>
                            <a:fillRect/>
                          </a:stretch>
                        </pic:blipFill>
                        <pic:spPr>
                          <a:xfrm>
                            <a:off x="0" y="0"/>
                            <a:ext cx="737870" cy="66611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825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合    计：</w:t>
            </w:r>
          </w:p>
        </w:tc>
        <w:tc>
          <w:tcPr>
            <w:tcW w:w="8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等线" w:hAnsi="等线" w:eastAsia="等线" w:cs="等线"/>
                <w:i w:val="0"/>
                <w:iCs w:val="0"/>
                <w:color w:val="auto"/>
                <w:sz w:val="18"/>
                <w:szCs w:val="18"/>
                <w:highlight w:val="none"/>
                <w:u w:val="none"/>
              </w:rPr>
            </w:pPr>
            <w:r>
              <w:rPr>
                <w:rFonts w:hint="eastAsia" w:ascii="等线" w:hAnsi="等线" w:eastAsia="等线" w:cs="等线"/>
                <w:i w:val="0"/>
                <w:iCs w:val="0"/>
                <w:color w:val="auto"/>
                <w:kern w:val="0"/>
                <w:sz w:val="18"/>
                <w:szCs w:val="18"/>
                <w:highlight w:val="none"/>
                <w:u w:val="none"/>
                <w:lang w:val="en-US" w:eastAsia="zh-CN" w:bidi="ar"/>
              </w:rPr>
              <w:t xml:space="preserve"> </w:t>
            </w:r>
          </w:p>
        </w:tc>
        <w:tc>
          <w:tcPr>
            <w:tcW w:w="23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等线" w:hAnsi="等线" w:eastAsia="等线" w:cs="等线"/>
                <w:i w:val="0"/>
                <w:iCs w:val="0"/>
                <w:color w:val="auto"/>
                <w:sz w:val="18"/>
                <w:szCs w:val="18"/>
                <w:highlight w:val="none"/>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（二）产品材质要求</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1.以上产品花面为人工手绘；</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2.以上产品材质为骨质瓷。</w:t>
      </w:r>
    </w:p>
    <w:p>
      <w:pPr>
        <w:spacing w:line="360" w:lineRule="auto"/>
        <w:ind w:firstLine="560" w:firstLineChars="20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3.以上产品样式、图案、尺寸均为参考，但整体风格相似。</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（三）其他要求</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1.产品在近两年内继续生产，或在2年内如招标方需求以上产品（或中标产品），可按照</w:t>
      </w:r>
      <w:r>
        <w:rPr>
          <w:rFonts w:hint="default" w:ascii="仿宋_GB2312" w:hAnsi="仿宋_GB2312" w:eastAsia="仿宋_GB2312" w:cs="仿宋_GB2312"/>
          <w:color w:val="auto"/>
          <w:sz w:val="28"/>
          <w:szCs w:val="28"/>
          <w:highlight w:val="none"/>
          <w:lang w:val="en-US" w:eastAsia="zh-CN"/>
        </w:rPr>
        <w:t>不高于</w:t>
      </w:r>
      <w:r>
        <w:rPr>
          <w:rFonts w:hint="eastAsia" w:ascii="仿宋_GB2312" w:hAnsi="仿宋_GB2312" w:eastAsia="仿宋_GB2312" w:cs="仿宋_GB2312"/>
          <w:color w:val="auto"/>
          <w:sz w:val="28"/>
          <w:szCs w:val="28"/>
          <w:highlight w:val="none"/>
          <w:lang w:val="en-US" w:eastAsia="zh-CN"/>
        </w:rPr>
        <w:t>中标价继续提供货物；</w:t>
      </w:r>
    </w:p>
    <w:p>
      <w:pPr>
        <w:spacing w:line="360" w:lineRule="auto"/>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2.运输过程中需对货物进行保护，防止出现破损、裂痕等现象。同时，货物满足疫情期间国家相关规定。</w:t>
      </w:r>
    </w:p>
    <w:p>
      <w:pPr>
        <w:pStyle w:val="2"/>
        <w:ind w:firstLine="56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3.运输过程中，因质量问题损坏，则由中标人自行按照破损进行更换。</w:t>
      </w:r>
    </w:p>
    <w:p>
      <w:pPr>
        <w:pStyle w:val="2"/>
        <w:ind w:firstLine="56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4.验收时，供货方提供相关检测证明。</w:t>
      </w:r>
    </w:p>
    <w:p>
      <w:pPr>
        <w:pStyle w:val="2"/>
        <w:ind w:firstLine="560"/>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5.该产品试用</w:t>
      </w:r>
      <w:r>
        <w:rPr>
          <w:rFonts w:hint="eastAsia" w:ascii="仿宋_GB2312" w:hAnsi="仿宋_GB2312" w:eastAsia="仿宋_GB2312" w:cs="仿宋_GB2312"/>
          <w:b/>
          <w:bCs/>
          <w:color w:val="auto"/>
          <w:sz w:val="36"/>
          <w:szCs w:val="36"/>
          <w:highlight w:val="none"/>
          <w:lang w:val="en-US" w:eastAsia="zh-CN"/>
        </w:rPr>
        <w:t>一个月，</w:t>
      </w:r>
      <w:r>
        <w:rPr>
          <w:rFonts w:hint="eastAsia" w:ascii="仿宋_GB2312" w:hAnsi="仿宋_GB2312" w:eastAsia="仿宋_GB2312" w:cs="仿宋_GB2312"/>
          <w:color w:val="auto"/>
          <w:sz w:val="28"/>
          <w:szCs w:val="28"/>
          <w:highlight w:val="none"/>
          <w:lang w:val="en-US" w:eastAsia="zh-CN"/>
        </w:rPr>
        <w:t>试用期间因质量问题出现掉瓷，掉杨等情况，招标方有权进行退货，并不承担运费等相关费用。</w:t>
      </w:r>
    </w:p>
    <w:p>
      <w:pPr>
        <w:pStyle w:val="2"/>
        <w:ind w:firstLine="560"/>
        <w:rPr>
          <w:rFonts w:hint="default" w:ascii="仿宋_GB2312" w:hAnsi="仿宋_GB2312" w:eastAsia="仿宋_GB2312" w:cs="仿宋_GB2312"/>
          <w:color w:val="auto"/>
          <w:sz w:val="28"/>
          <w:szCs w:val="28"/>
          <w:highlight w:val="none"/>
          <w:lang w:val="en-US" w:eastAsia="zh-CN"/>
        </w:rPr>
      </w:pPr>
    </w:p>
    <w:p>
      <w:pPr>
        <w:pStyle w:val="2"/>
        <w:ind w:firstLine="560"/>
        <w:rPr>
          <w:rFonts w:hint="default" w:ascii="仿宋_GB2312" w:hAnsi="仿宋_GB2312" w:eastAsia="仿宋_GB2312" w:cs="仿宋_GB2312"/>
          <w:color w:val="auto"/>
          <w:sz w:val="28"/>
          <w:szCs w:val="28"/>
          <w:highlight w:val="none"/>
          <w:lang w:val="en-US" w:eastAsia="zh-CN"/>
        </w:rPr>
      </w:pPr>
    </w:p>
    <w:p>
      <w:pPr>
        <w:pStyle w:val="2"/>
        <w:ind w:firstLine="560"/>
        <w:rPr>
          <w:rFonts w:hint="default" w:ascii="仿宋_GB2312" w:hAnsi="仿宋_GB2312" w:eastAsia="仿宋_GB2312" w:cs="仿宋_GB2312"/>
          <w:color w:val="auto"/>
          <w:sz w:val="28"/>
          <w:szCs w:val="28"/>
          <w:highlight w:val="none"/>
          <w:lang w:val="en-US" w:eastAsia="zh-CN"/>
        </w:rPr>
      </w:pPr>
    </w:p>
    <w:p>
      <w:pPr>
        <w:pStyle w:val="2"/>
        <w:ind w:firstLine="560"/>
        <w:rPr>
          <w:rFonts w:hint="default" w:ascii="仿宋_GB2312" w:hAnsi="仿宋_GB2312" w:eastAsia="仿宋_GB2312" w:cs="仿宋_GB2312"/>
          <w:color w:val="auto"/>
          <w:sz w:val="28"/>
          <w:szCs w:val="28"/>
          <w:highlight w:val="none"/>
          <w:lang w:val="en-US" w:eastAsia="zh-CN"/>
        </w:rPr>
      </w:pPr>
    </w:p>
    <w:p>
      <w:pPr>
        <w:rPr>
          <w:rFonts w:hint="eastAsia" w:ascii="仿宋" w:hAnsi="仿宋" w:eastAsia="仿宋"/>
          <w:color w:val="auto"/>
          <w:highlight w:val="none"/>
          <w:lang w:eastAsia="zh-CN"/>
        </w:rPr>
      </w:pPr>
      <w:r>
        <w:rPr>
          <w:rFonts w:hint="eastAsia" w:ascii="仿宋" w:hAnsi="仿宋" w:eastAsia="仿宋"/>
          <w:color w:val="auto"/>
          <w:highlight w:val="none"/>
          <w:lang w:val="en-US" w:eastAsia="zh-CN"/>
        </w:rPr>
        <w:t xml:space="preserve">     </w:t>
      </w:r>
    </w:p>
    <w:p>
      <w:pPr>
        <w:pStyle w:val="3"/>
        <w:spacing w:line="360" w:lineRule="auto"/>
        <w:rPr>
          <w:rFonts w:ascii="仿宋" w:hAnsi="仿宋" w:eastAsia="仿宋"/>
          <w:color w:val="auto"/>
          <w:highlight w:val="none"/>
        </w:rPr>
      </w:pPr>
      <w:bookmarkStart w:id="12" w:name="_Toc5011"/>
      <w:r>
        <w:rPr>
          <w:rFonts w:hint="eastAsia" w:ascii="仿宋" w:hAnsi="仿宋" w:eastAsia="仿宋"/>
          <w:color w:val="auto"/>
          <w:highlight w:val="none"/>
        </w:rPr>
        <w:t>第三章 投标人须知</w:t>
      </w:r>
      <w:bookmarkEnd w:id="12"/>
    </w:p>
    <w:p>
      <w:pPr>
        <w:pStyle w:val="4"/>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w:t>
      </w:r>
      <w:bookmarkStart w:id="13" w:name="_Toc30158"/>
      <w:r>
        <w:rPr>
          <w:rFonts w:hint="eastAsia" w:ascii="仿宋" w:hAnsi="仿宋" w:eastAsia="仿宋"/>
          <w:color w:val="auto"/>
          <w:sz w:val="28"/>
          <w:szCs w:val="28"/>
          <w:highlight w:val="none"/>
        </w:rPr>
        <w:t>一、供应商资格要求</w:t>
      </w:r>
      <w:bookmarkEnd w:id="13"/>
    </w:p>
    <w:p>
      <w:pPr>
        <w:pStyle w:val="5"/>
        <w:spacing w:line="360" w:lineRule="auto"/>
        <w:ind w:firstLine="560" w:firstLineChars="200"/>
        <w:rPr>
          <w:rFonts w:ascii="仿宋" w:hAnsi="仿宋" w:eastAsia="仿宋"/>
          <w:color w:val="auto"/>
          <w:kern w:val="2"/>
          <w:sz w:val="28"/>
          <w:szCs w:val="28"/>
          <w:highlight w:val="none"/>
        </w:rPr>
      </w:pPr>
      <w:r>
        <w:rPr>
          <w:rFonts w:hint="eastAsia" w:ascii="仿宋" w:hAnsi="仿宋" w:eastAsia="仿宋"/>
          <w:color w:val="auto"/>
          <w:kern w:val="2"/>
          <w:sz w:val="28"/>
          <w:szCs w:val="28"/>
          <w:highlight w:val="none"/>
        </w:rPr>
        <w:t>（一）供应商应符合《中华人民共和国政府采购法》第二十二条规定的条件；</w:t>
      </w:r>
    </w:p>
    <w:p>
      <w:pPr>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（二）具有</w:t>
      </w:r>
      <w:r>
        <w:rPr>
          <w:rFonts w:hint="eastAsia" w:ascii="仿宋" w:hAnsi="仿宋" w:eastAsia="仿宋"/>
          <w:color w:val="auto"/>
          <w:sz w:val="28"/>
          <w:szCs w:val="28"/>
          <w:highlight w:val="none"/>
          <w:lang w:val="en-US" w:eastAsia="zh-CN"/>
        </w:rPr>
        <w:t>瓷器制作及销售相关营业范围</w:t>
      </w:r>
      <w:r>
        <w:rPr>
          <w:rFonts w:hint="eastAsia" w:ascii="仿宋" w:hAnsi="仿宋" w:eastAsia="仿宋"/>
          <w:color w:val="auto"/>
          <w:sz w:val="28"/>
          <w:szCs w:val="28"/>
          <w:highlight w:val="none"/>
        </w:rPr>
        <w:t>。</w:t>
      </w:r>
    </w:p>
    <w:p>
      <w:pPr>
        <w:pStyle w:val="4"/>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w:t>
      </w:r>
      <w:bookmarkStart w:id="14" w:name="_Toc1316"/>
      <w:r>
        <w:rPr>
          <w:rFonts w:hint="eastAsia" w:ascii="仿宋" w:hAnsi="仿宋" w:eastAsia="仿宋"/>
          <w:color w:val="auto"/>
          <w:sz w:val="28"/>
          <w:szCs w:val="28"/>
          <w:highlight w:val="none"/>
        </w:rPr>
        <w:t>二、响应文件的构成</w:t>
      </w:r>
      <w:bookmarkEnd w:id="14"/>
    </w:p>
    <w:p>
      <w:pPr>
        <w:pStyle w:val="5"/>
        <w:adjustRightInd w:val="0"/>
        <w:snapToGrid w:val="0"/>
        <w:spacing w:line="360" w:lineRule="auto"/>
        <w:ind w:firstLine="560" w:firstLineChars="200"/>
        <w:rPr>
          <w:rFonts w:ascii="仿宋" w:hAnsi="仿宋" w:eastAsia="仿宋"/>
          <w:bCs/>
          <w:color w:val="auto"/>
          <w:sz w:val="28"/>
          <w:szCs w:val="28"/>
          <w:highlight w:val="none"/>
        </w:rPr>
      </w:pPr>
      <w:r>
        <w:rPr>
          <w:rFonts w:hint="eastAsia" w:ascii="仿宋" w:hAnsi="仿宋" w:eastAsia="仿宋"/>
          <w:bCs/>
          <w:color w:val="auto"/>
          <w:sz w:val="28"/>
          <w:szCs w:val="28"/>
          <w:highlight w:val="none"/>
        </w:rPr>
        <w:t>供应商编制的响应文件应包括但不少于下列内容：</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1.提供企业营业执照（副本）、组织机构代码证、税务登记证（副本），三证合一则为一个。</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2.产品最终报价表，报价货物详细技术参数。</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3.公司对公账号。</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4.售后服务承诺：含售后服务地点、网点，租摆服务方案，养护服务方案，服务响应及解决问题时限等。</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5.业绩证明（近3年同类产品业绩证明，中标通知书或合同。</w:t>
      </w:r>
      <w:bookmarkStart w:id="52" w:name="_GoBack"/>
      <w:bookmarkEnd w:id="52"/>
      <w:r>
        <w:rPr>
          <w:rFonts w:hint="eastAsia" w:ascii="仿宋" w:hAnsi="仿宋" w:eastAsia="仿宋" w:cs="宋体"/>
          <w:color w:val="auto"/>
          <w:kern w:val="2"/>
          <w:sz w:val="28"/>
          <w:szCs w:val="28"/>
          <w:highlight w:val="none"/>
          <w:lang w:val="en-US" w:eastAsia="zh-CN" w:bidi="ar-SA"/>
        </w:rPr>
        <w:t>价格及公章需清晰可见）。</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6.其他产品质量保证等佐证材料。</w:t>
      </w:r>
    </w:p>
    <w:p>
      <w:pPr>
        <w:pStyle w:val="40"/>
        <w:spacing w:line="360" w:lineRule="auto"/>
        <w:ind w:firstLine="45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7.招标文件响应程度（填写优于、满足、不满足）。</w:t>
      </w:r>
    </w:p>
    <w:p>
      <w:pPr>
        <w:pStyle w:val="5"/>
        <w:spacing w:line="360" w:lineRule="auto"/>
        <w:ind w:firstLine="560" w:firstLineChars="200"/>
        <w:rPr>
          <w:rFonts w:hint="eastAsia" w:ascii="仿宋" w:hAnsi="仿宋" w:eastAsia="仿宋" w:cs="宋体"/>
          <w:color w:val="auto"/>
          <w:kern w:val="2"/>
          <w:sz w:val="28"/>
          <w:szCs w:val="28"/>
          <w:highlight w:val="none"/>
          <w:lang w:val="en-US" w:eastAsia="zh-CN" w:bidi="ar-SA"/>
        </w:rPr>
      </w:pPr>
      <w:r>
        <w:rPr>
          <w:rFonts w:hint="eastAsia" w:ascii="仿宋" w:hAnsi="仿宋" w:eastAsia="仿宋" w:cs="宋体"/>
          <w:color w:val="auto"/>
          <w:kern w:val="2"/>
          <w:sz w:val="28"/>
          <w:szCs w:val="28"/>
          <w:highlight w:val="none"/>
          <w:lang w:val="en-US" w:eastAsia="zh-CN" w:bidi="ar-SA"/>
        </w:rPr>
        <w:t>以上文件均需装订成册，响应文件需递交正本1份，副本3份，PDF格式电子文档1份(u盘)；以上资料需签字、盖章的必须由法定代表人或经其授权的代表签字，并加盖公章密封。响应文件在封面必须清楚地标明“正本”或“副本”字样。若副本与正本不符，以正本为准。法定代表人或经其授权的代表需核对身份证，请携带身份证原件。响应文件及资料无论供应商是否中标均不予退还。</w:t>
      </w:r>
    </w:p>
    <w:p>
      <w:pPr>
        <w:pStyle w:val="4"/>
        <w:spacing w:line="360" w:lineRule="auto"/>
        <w:ind w:firstLine="562" w:firstLineChars="200"/>
        <w:rPr>
          <w:rFonts w:ascii="仿宋" w:hAnsi="仿宋" w:eastAsia="仿宋"/>
          <w:color w:val="auto"/>
          <w:sz w:val="28"/>
          <w:highlight w:val="none"/>
        </w:rPr>
      </w:pPr>
      <w:bookmarkStart w:id="15" w:name="_Toc15041"/>
      <w:r>
        <w:rPr>
          <w:rFonts w:hint="eastAsia" w:ascii="仿宋" w:hAnsi="仿宋" w:eastAsia="仿宋"/>
          <w:color w:val="auto"/>
          <w:sz w:val="28"/>
          <w:highlight w:val="none"/>
        </w:rPr>
        <w:t>三、评标与中标</w:t>
      </w:r>
      <w:bookmarkEnd w:id="15"/>
    </w:p>
    <w:p>
      <w:pPr>
        <w:pStyle w:val="5"/>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（一）成立磋商小组</w:t>
      </w:r>
    </w:p>
    <w:p>
      <w:pPr>
        <w:pStyle w:val="5"/>
        <w:spacing w:line="360" w:lineRule="auto"/>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鄂尔多斯市空港实业有限公司采购管理部门组织成立竞争性磋商小组，小组将按照以下基本程序组织谈判：</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1、供应商签到；</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2、供应商资格及响应文件初审；</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3、与供应商针对报价及相关服务等内容依次进行项目谈判；</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4、根据谈判内容详细审查并评判；</w:t>
      </w:r>
    </w:p>
    <w:p>
      <w:pPr>
        <w:snapToGrid w:val="0"/>
        <w:spacing w:line="360" w:lineRule="auto"/>
        <w:ind w:firstLine="610" w:firstLineChars="218"/>
        <w:rPr>
          <w:rFonts w:ascii="仿宋" w:hAnsi="仿宋" w:eastAsia="仿宋"/>
          <w:color w:val="auto"/>
          <w:sz w:val="28"/>
          <w:szCs w:val="28"/>
          <w:highlight w:val="none"/>
        </w:rPr>
      </w:pPr>
      <w:r>
        <w:rPr>
          <w:rFonts w:hint="eastAsia" w:ascii="仿宋" w:hAnsi="仿宋" w:eastAsia="仿宋"/>
          <w:color w:val="auto"/>
          <w:sz w:val="28"/>
          <w:szCs w:val="28"/>
          <w:highlight w:val="none"/>
        </w:rPr>
        <w:t>5、根据整体情况推荐并确定中标候选人。</w:t>
      </w:r>
    </w:p>
    <w:p>
      <w:pPr>
        <w:pStyle w:val="5"/>
        <w:spacing w:line="360" w:lineRule="auto"/>
        <w:ind w:firstLine="562" w:firstLineChars="200"/>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（二）</w:t>
      </w:r>
      <w:r>
        <w:rPr>
          <w:rFonts w:hint="eastAsia" w:ascii="仿宋_GB2312" w:hAnsi="仿宋_GB2312" w:eastAsia="仿宋_GB2312" w:cs="仿宋_GB2312"/>
          <w:b/>
          <w:bCs/>
          <w:color w:val="auto"/>
          <w:sz w:val="28"/>
          <w:szCs w:val="28"/>
          <w:highlight w:val="none"/>
          <w:lang w:val="en-US" w:eastAsia="zh-CN"/>
        </w:rPr>
        <w:t>评标</w:t>
      </w:r>
      <w:r>
        <w:rPr>
          <w:rFonts w:hint="eastAsia" w:ascii="仿宋_GB2312" w:hAnsi="仿宋_GB2312" w:eastAsia="仿宋_GB2312" w:cs="仿宋_GB2312"/>
          <w:b/>
          <w:bCs/>
          <w:color w:val="auto"/>
          <w:sz w:val="28"/>
          <w:szCs w:val="28"/>
          <w:highlight w:val="none"/>
        </w:rPr>
        <w:t>与评标</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鄂尔多斯市空港实业有限公司采购管理部门组织成立竞争性磋商小组，小组将按照以下基本程序组织磋商：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1.公布递交响应文件投标人名称。监督人员在磋商现场检查响应文件的密封情况，响应文件的密封情况经确认无误后，工作人员当众拆封。</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3.磋商与报价</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A.磋商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磋商小组对投标文件响应情况、报价比例、企业资质与业绩、执行合同能力等方面进行全面比较与评价，了解和掌握各实质性响应供应商的响应程度，做好磋商准备。</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磋商小组通过投标人抽签的顺序确定参加磋商投标人的磋商顺序，所有磋商小组成员集体与每位投标人分别进行单独磋商，磋商轮次由小组成员视情况而定。</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B.报价</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每一个磋商轮次进行一次报价，报价以书面形式须由法定代表人或其授权人签字确认后送交磋商小组。</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4. 评标办法与确定成交供应商</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 xml:space="preserve">（1）在满足竞争性磋商文件全部内容的基础上，磋商小组按照综合评分法，根据报价情况由低到高排列供应商顺序并推荐中标候选人，报价相同时，业绩多者优先。 </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（3）评分细则</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1.价格权重70%</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1最低投标报价（不含税）为基准价，投标报价得分=（基础价÷投标报价（不含税））×70%×100。</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2.商务及技术权重30%</w:t>
      </w:r>
    </w:p>
    <w:tbl>
      <w:tblPr>
        <w:tblStyle w:val="11"/>
        <w:tblW w:w="52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389"/>
        <w:gridCol w:w="7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0" w:type="pct"/>
            <w:noWrap w:val="0"/>
            <w:vAlign w:val="center"/>
          </w:tcPr>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评分权重</w:t>
            </w: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评审因素</w:t>
            </w:r>
          </w:p>
        </w:tc>
        <w:tc>
          <w:tcPr>
            <w:tcW w:w="3675" w:type="pct"/>
            <w:noWrap w:val="0"/>
            <w:vAlign w:val="center"/>
          </w:tcPr>
          <w:p>
            <w:pPr>
              <w:pStyle w:val="40"/>
              <w:spacing w:line="240" w:lineRule="auto"/>
              <w:jc w:val="center"/>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660"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商务部分</w:t>
            </w:r>
          </w:p>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（6分）</w:t>
            </w: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同类业绩（6分）</w:t>
            </w:r>
          </w:p>
        </w:tc>
        <w:tc>
          <w:tcPr>
            <w:tcW w:w="3675"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投标人提供近三年同类业绩合同及中标通知书等有效合同文件；</w:t>
            </w:r>
          </w:p>
          <w:p>
            <w:pPr>
              <w:pStyle w:val="40"/>
              <w:numPr>
                <w:ilvl w:val="0"/>
                <w:numId w:val="1"/>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合同金额大于15万，每提供一份完整且有效合同得3分；</w:t>
            </w:r>
          </w:p>
          <w:p>
            <w:pPr>
              <w:pStyle w:val="40"/>
              <w:numPr>
                <w:ilvl w:val="0"/>
                <w:numId w:val="1"/>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合同金额10-15（含）万，每提供一份完整且有效合同得2分；</w:t>
            </w:r>
          </w:p>
          <w:p>
            <w:pPr>
              <w:pStyle w:val="40"/>
              <w:numPr>
                <w:ilvl w:val="0"/>
                <w:numId w:val="1"/>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合同金额小于10万，每提供一份完整且有效合同得1分。</w:t>
            </w:r>
          </w:p>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本项目满分6分。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660" w:type="pct"/>
            <w:vMerge w:val="restar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技术部分</w:t>
            </w:r>
          </w:p>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（24分）</w:t>
            </w:r>
          </w:p>
        </w:tc>
        <w:tc>
          <w:tcPr>
            <w:tcW w:w="663" w:type="pct"/>
            <w:noWrap w:val="0"/>
            <w:vAlign w:val="center"/>
          </w:tcPr>
          <w:p>
            <w:pPr>
              <w:pStyle w:val="40"/>
              <w:spacing w:line="240" w:lineRule="auto"/>
              <w:jc w:val="center"/>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样品质量（10分）</w:t>
            </w:r>
          </w:p>
        </w:tc>
        <w:tc>
          <w:tcPr>
            <w:tcW w:w="3675" w:type="pct"/>
            <w:noWrap w:val="0"/>
            <w:vAlign w:val="center"/>
          </w:tcPr>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根据招标需求，现场提供样品，并对样品质量进行评价。</w:t>
            </w:r>
          </w:p>
          <w:p>
            <w:pPr>
              <w:pStyle w:val="40"/>
              <w:numPr>
                <w:ilvl w:val="0"/>
                <w:numId w:val="2"/>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提供样品质量优于招标需求，且提供相关检测证明，得8-10分；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提供样品质量满足招标需求，且提供相关检测证明，得5-7分；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提供样品质量基本满足需求，且无相关检测证明，得4-5分；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未提供样品，但提供相关检测证明，得2-3分。</w:t>
            </w:r>
          </w:p>
          <w:p>
            <w:pPr>
              <w:pStyle w:val="40"/>
              <w:numPr>
                <w:ilvl w:val="0"/>
                <w:numId w:val="2"/>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未提供样品及检测报告，不得分。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质保延期（6分）</w:t>
            </w:r>
          </w:p>
        </w:tc>
        <w:tc>
          <w:tcPr>
            <w:tcW w:w="3675" w:type="pct"/>
            <w:shd w:val="clear" w:color="auto" w:fill="auto"/>
            <w:noWrap w:val="0"/>
            <w:vAlign w:val="center"/>
          </w:tcPr>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根据提供货物质量，提供额外的质保服务。</w:t>
            </w:r>
          </w:p>
          <w:p>
            <w:pPr>
              <w:pStyle w:val="40"/>
              <w:numPr>
                <w:ilvl w:val="0"/>
                <w:numId w:val="3"/>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提供1年质保，得2分；</w:t>
            </w:r>
          </w:p>
          <w:p>
            <w:pPr>
              <w:pStyle w:val="40"/>
              <w:numPr>
                <w:ilvl w:val="0"/>
                <w:numId w:val="3"/>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提供1.5年质保，得4分；</w:t>
            </w:r>
          </w:p>
          <w:p>
            <w:pPr>
              <w:pStyle w:val="40"/>
              <w:numPr>
                <w:ilvl w:val="0"/>
                <w:numId w:val="3"/>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提供2年质保，得6分。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增值方服务（4分）</w:t>
            </w:r>
          </w:p>
        </w:tc>
        <w:tc>
          <w:tcPr>
            <w:tcW w:w="3675" w:type="pct"/>
            <w:shd w:val="clear" w:color="auto" w:fill="auto"/>
            <w:noWrap w:val="0"/>
            <w:vAlign w:val="center"/>
          </w:tcPr>
          <w:p>
            <w:pPr>
              <w:pStyle w:val="40"/>
              <w:numPr>
                <w:ilvl w:val="0"/>
                <w:numId w:val="0"/>
              </w:numPr>
              <w:spacing w:line="240" w:lineRule="auto"/>
              <w:ind w:left="0" w:leftChars="0" w:firstLine="0" w:firstLineChars="0"/>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2.根据本项目，提供额外数量或其他配套物品的，得4分。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定制要求（3分）</w:t>
            </w:r>
          </w:p>
        </w:tc>
        <w:tc>
          <w:tcPr>
            <w:tcW w:w="3675" w:type="pct"/>
            <w:noWrap w:val="0"/>
            <w:vAlign w:val="center"/>
          </w:tcPr>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根据本项目要求，可保证5年内所采购物品仍可以按照中标价定制。</w:t>
            </w:r>
          </w:p>
          <w:p>
            <w:pPr>
              <w:pStyle w:val="40"/>
              <w:numPr>
                <w:ilvl w:val="0"/>
                <w:numId w:val="0"/>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1.有承诺，得3分；</w:t>
            </w:r>
          </w:p>
          <w:p>
            <w:pPr>
              <w:pStyle w:val="40"/>
              <w:numPr>
                <w:ilvl w:val="0"/>
                <w:numId w:val="0"/>
              </w:numPr>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2.无承诺，不得分。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660" w:type="pct"/>
            <w:vMerge w:val="continue"/>
            <w:noWrap w:val="0"/>
            <w:vAlign w:val="center"/>
          </w:tcPr>
          <w:p>
            <w:pPr>
              <w:pStyle w:val="40"/>
              <w:spacing w:line="240" w:lineRule="auto"/>
              <w:ind w:firstLine="480" w:firstLineChars="200"/>
              <w:rPr>
                <w:rFonts w:hint="eastAsia" w:ascii="仿宋" w:hAnsi="仿宋" w:eastAsia="仿宋" w:cs="Calibri"/>
                <w:color w:val="auto"/>
                <w:kern w:val="2"/>
                <w:sz w:val="24"/>
                <w:szCs w:val="24"/>
                <w:highlight w:val="none"/>
                <w:lang w:val="en-US" w:eastAsia="zh-CN" w:bidi="ar-SA"/>
              </w:rPr>
            </w:pPr>
          </w:p>
        </w:tc>
        <w:tc>
          <w:tcPr>
            <w:tcW w:w="663" w:type="pct"/>
            <w:noWrap w:val="0"/>
            <w:vAlign w:val="center"/>
          </w:tcPr>
          <w:p>
            <w:pPr>
              <w:pStyle w:val="40"/>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疫情防护措施</w:t>
            </w:r>
          </w:p>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（1分）</w:t>
            </w:r>
          </w:p>
        </w:tc>
        <w:tc>
          <w:tcPr>
            <w:tcW w:w="3675" w:type="pct"/>
            <w:noWrap w:val="0"/>
            <w:vAlign w:val="center"/>
          </w:tcPr>
          <w:p>
            <w:pPr>
              <w:pStyle w:val="40"/>
              <w:spacing w:line="240" w:lineRule="auto"/>
              <w:rPr>
                <w:rFonts w:hint="default"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按照招标养护需求，疫情期间，提供详细疫情防护措施的。</w:t>
            </w:r>
          </w:p>
          <w:p>
            <w:pPr>
              <w:pStyle w:val="40"/>
              <w:numPr>
                <w:ilvl w:val="0"/>
                <w:numId w:val="4"/>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有疫情防护措施，得1分；</w:t>
            </w:r>
          </w:p>
          <w:p>
            <w:pPr>
              <w:pStyle w:val="40"/>
              <w:numPr>
                <w:ilvl w:val="0"/>
                <w:numId w:val="4"/>
              </w:numPr>
              <w:spacing w:line="240" w:lineRule="auto"/>
              <w:rPr>
                <w:rFonts w:hint="eastAsia" w:ascii="仿宋" w:hAnsi="仿宋" w:eastAsia="仿宋" w:cs="Calibri"/>
                <w:color w:val="auto"/>
                <w:kern w:val="2"/>
                <w:sz w:val="24"/>
                <w:szCs w:val="24"/>
                <w:highlight w:val="none"/>
                <w:lang w:val="en-US" w:eastAsia="zh-CN" w:bidi="ar-SA"/>
              </w:rPr>
            </w:pPr>
            <w:r>
              <w:rPr>
                <w:rFonts w:hint="eastAsia" w:ascii="仿宋" w:hAnsi="仿宋" w:eastAsia="仿宋" w:cs="Calibri"/>
                <w:color w:val="auto"/>
                <w:kern w:val="2"/>
                <w:sz w:val="24"/>
                <w:szCs w:val="24"/>
                <w:highlight w:val="none"/>
                <w:lang w:val="en-US" w:eastAsia="zh-CN" w:bidi="ar-SA"/>
              </w:rPr>
              <w:t>无疫情防护措施，不得分。</w:t>
            </w:r>
          </w:p>
        </w:tc>
      </w:tr>
    </w:tbl>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项目中标结果将于2-4个工作日后在鄂尔多斯机场管理集团官网上进行公布，供应商可自行登陆查询，不再另行通知。</w:t>
      </w:r>
    </w:p>
    <w:p>
      <w:pPr>
        <w:pStyle w:val="40"/>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Calibri"/>
          <w:b/>
          <w:bCs/>
          <w:color w:val="auto"/>
          <w:kern w:val="2"/>
          <w:sz w:val="28"/>
          <w:szCs w:val="28"/>
          <w:highlight w:val="none"/>
          <w:lang w:val="en-US" w:eastAsia="zh-CN" w:bidi="ar-SA"/>
        </w:rPr>
      </w:pPr>
      <w:bookmarkStart w:id="16" w:name="_Toc2925"/>
      <w:r>
        <w:rPr>
          <w:rFonts w:hint="eastAsia" w:ascii="仿宋" w:hAnsi="仿宋" w:eastAsia="仿宋" w:cs="Calibri"/>
          <w:b/>
          <w:bCs/>
          <w:color w:val="auto"/>
          <w:kern w:val="2"/>
          <w:sz w:val="28"/>
          <w:szCs w:val="28"/>
          <w:highlight w:val="none"/>
          <w:lang w:val="en-US" w:eastAsia="zh-CN" w:bidi="ar-SA"/>
        </w:rPr>
        <w:t>（四）纪律和监督</w:t>
      </w:r>
      <w:bookmarkEnd w:id="16"/>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（1）对招标人的纪律要求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招标人不得泄露招标投标活动中应当保密的情况和资料，不得与投标人串通损害国家利益、社会公共利益或者他人合法权益。</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（2）对投标人的纪律要求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1.投标人不得相互串通投标或者与招标人串通投标，不得向招标人或者评标委员会成员行贿谋取中标，不得以他人名义投标或者以其他方式弄虚作假骗取中标；</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2.投标人不得以任何方式干扰、影响评标工作，否则取消该投标人投标资格，并加入招标方“投标人黑名单”。</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（3）对评标委员会成员的纪律要求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各评委不得收受他人的财物或者其他好处，不得向他人透露对投标文件的评审和比较、中标候选人的推荐情况以及评标有关的其他情况。在评标活动中，各评委应当客观、公正地履行职责，遵守职业道德，不得擅离职守，影响评标程序正常进行，不得使用评标原则中没有规定的评审因素和标准进行评标。</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（4）对与评标活动有关的工作人员的纪律要求</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pStyle w:val="40"/>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Calibri"/>
          <w:b/>
          <w:bCs/>
          <w:color w:val="auto"/>
          <w:kern w:val="2"/>
          <w:sz w:val="28"/>
          <w:szCs w:val="28"/>
          <w:highlight w:val="none"/>
          <w:lang w:val="en-US" w:eastAsia="zh-CN" w:bidi="ar-SA"/>
        </w:rPr>
      </w:pPr>
      <w:bookmarkStart w:id="17" w:name="_Toc1820"/>
      <w:r>
        <w:rPr>
          <w:rFonts w:hint="eastAsia" w:ascii="仿宋" w:hAnsi="仿宋" w:eastAsia="仿宋" w:cs="Calibri"/>
          <w:b/>
          <w:bCs/>
          <w:color w:val="auto"/>
          <w:kern w:val="2"/>
          <w:sz w:val="28"/>
          <w:szCs w:val="28"/>
          <w:highlight w:val="none"/>
          <w:lang w:val="en-US" w:eastAsia="zh-CN" w:bidi="ar-SA"/>
        </w:rPr>
        <w:t>（五）投诉</w:t>
      </w:r>
      <w:bookmarkEnd w:id="17"/>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（1） 投标人或者其他利害关系人认为招标投标活动不符合法律、行政法规规定的，可以自知道或者应当知道之日起10日内向有关行政监督部门投诉。投诉应当有明确的请求和必要的证明材料。</w:t>
      </w:r>
    </w:p>
    <w:p>
      <w:pPr>
        <w:pStyle w:val="4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t>（2）投标人或者其他利害关系人对招标文件、开标和评标结果提出投诉的，应当在投标截止时间10日前、中标候选人公示期间以书面形式提出，招标人将在收到异议之日起3日内作出答复；作出答复前，将暂停招标投标活动；投标人对开标有异议的，应当在开标现场提出，招标人当场作出答复，并制作记录。</w:t>
      </w:r>
    </w:p>
    <w:p>
      <w:pPr>
        <w:pStyle w:val="40"/>
        <w:spacing w:line="360" w:lineRule="auto"/>
        <w:ind w:firstLine="560" w:firstLineChars="200"/>
        <w:rPr>
          <w:rFonts w:hint="eastAsia" w:ascii="仿宋" w:hAnsi="仿宋" w:eastAsia="仿宋" w:cs="Calibri"/>
          <w:color w:val="auto"/>
          <w:kern w:val="2"/>
          <w:sz w:val="28"/>
          <w:szCs w:val="28"/>
          <w:highlight w:val="none"/>
          <w:lang w:val="en-US" w:eastAsia="zh-CN" w:bidi="ar-SA"/>
        </w:rPr>
      </w:pPr>
      <w:r>
        <w:rPr>
          <w:rFonts w:hint="eastAsia" w:ascii="仿宋" w:hAnsi="仿宋" w:eastAsia="仿宋" w:cs="Calibri"/>
          <w:color w:val="auto"/>
          <w:kern w:val="2"/>
          <w:sz w:val="28"/>
          <w:szCs w:val="28"/>
          <w:highlight w:val="none"/>
          <w:lang w:val="en-US" w:eastAsia="zh-CN" w:bidi="ar-SA"/>
        </w:rPr>
        <w:br w:type="page"/>
      </w:r>
    </w:p>
    <w:p>
      <w:pPr>
        <w:pStyle w:val="3"/>
        <w:spacing w:line="360" w:lineRule="auto"/>
        <w:rPr>
          <w:rFonts w:ascii="仿宋" w:hAnsi="仿宋" w:eastAsia="仿宋"/>
          <w:color w:val="auto"/>
          <w:highlight w:val="none"/>
        </w:rPr>
      </w:pPr>
      <w:bookmarkStart w:id="18" w:name="_Toc7677"/>
      <w:r>
        <w:rPr>
          <w:rFonts w:hint="eastAsia" w:ascii="仿宋" w:hAnsi="仿宋" w:eastAsia="仿宋"/>
          <w:color w:val="auto"/>
          <w:highlight w:val="none"/>
        </w:rPr>
        <w:t>第四章 响应文件格式与要求</w:t>
      </w:r>
      <w:bookmarkEnd w:id="18"/>
    </w:p>
    <w:p>
      <w:pPr>
        <w:pStyle w:val="4"/>
        <w:ind w:firstLine="562" w:firstLineChars="200"/>
        <w:rPr>
          <w:rFonts w:ascii="仿宋" w:hAnsi="仿宋" w:eastAsia="仿宋"/>
          <w:color w:val="auto"/>
          <w:sz w:val="28"/>
          <w:highlight w:val="none"/>
        </w:rPr>
      </w:pPr>
      <w:bookmarkStart w:id="19" w:name="_Toc6975"/>
      <w:bookmarkStart w:id="20" w:name="_Toc32467"/>
      <w:bookmarkStart w:id="21" w:name="_Toc2950276"/>
      <w:bookmarkStart w:id="22" w:name="_Toc2950399"/>
      <w:r>
        <w:rPr>
          <w:rFonts w:hint="eastAsia" w:ascii="仿宋" w:hAnsi="仿宋" w:eastAsia="仿宋"/>
          <w:color w:val="auto"/>
          <w:sz w:val="28"/>
          <w:highlight w:val="none"/>
        </w:rPr>
        <w:t>格式一：</w:t>
      </w:r>
      <w:bookmarkEnd w:id="19"/>
      <w:bookmarkEnd w:id="20"/>
      <w:bookmarkEnd w:id="21"/>
      <w:bookmarkEnd w:id="22"/>
    </w:p>
    <w:p>
      <w:pPr>
        <w:jc w:val="center"/>
        <w:rPr>
          <w:rFonts w:ascii="仿宋" w:hAnsi="仿宋" w:eastAsia="仿宋"/>
          <w:color w:val="auto"/>
          <w:highlight w:val="none"/>
        </w:rPr>
      </w:pPr>
      <w:r>
        <w:rPr>
          <w:rFonts w:hint="eastAsia" w:ascii="仿宋" w:hAnsi="仿宋" w:eastAsia="仿宋"/>
          <w:color w:val="auto"/>
          <w:sz w:val="40"/>
          <w:highlight w:val="none"/>
        </w:rPr>
        <w:t>（相应文件封面）</w:t>
      </w:r>
    </w:p>
    <w:p>
      <w:pPr>
        <w:jc w:val="center"/>
        <w:rPr>
          <w:rFonts w:ascii="仿宋" w:hAnsi="仿宋" w:eastAsia="仿宋"/>
          <w:color w:val="auto"/>
          <w:sz w:val="52"/>
          <w:szCs w:val="52"/>
          <w:highlight w:val="none"/>
        </w:rPr>
      </w:pPr>
      <w:r>
        <w:rPr>
          <w:rFonts w:hint="eastAsia" w:ascii="仿宋" w:hAnsi="仿宋" w:eastAsia="仿宋"/>
          <w:color w:val="auto"/>
          <w:sz w:val="52"/>
          <w:szCs w:val="52"/>
          <w:highlight w:val="none"/>
        </w:rPr>
        <w:t>竞争性磋商响应文件</w:t>
      </w:r>
    </w:p>
    <w:p>
      <w:pPr>
        <w:jc w:val="center"/>
        <w:rPr>
          <w:rFonts w:ascii="仿宋" w:hAnsi="仿宋" w:eastAsia="仿宋"/>
          <w:color w:val="auto"/>
          <w:sz w:val="52"/>
          <w:szCs w:val="52"/>
          <w:highlight w:val="none"/>
        </w:rPr>
      </w:pPr>
      <w:r>
        <w:rPr>
          <w:rFonts w:hint="eastAsia" w:ascii="仿宋" w:hAnsi="仿宋" w:eastAsia="仿宋"/>
          <w:color w:val="auto"/>
          <w:sz w:val="52"/>
          <w:szCs w:val="52"/>
          <w:highlight w:val="none"/>
        </w:rPr>
        <w:t>（正本/副本）</w:t>
      </w: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项目名称：</w:t>
      </w: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项目编号：</w:t>
      </w:r>
    </w:p>
    <w:p>
      <w:pPr>
        <w:jc w:val="center"/>
        <w:rPr>
          <w:rFonts w:ascii="仿宋" w:hAnsi="仿宋" w:eastAsia="仿宋"/>
          <w:color w:val="auto"/>
          <w:sz w:val="52"/>
          <w:szCs w:val="52"/>
          <w:highlight w:val="none"/>
        </w:rPr>
      </w:pPr>
    </w:p>
    <w:p>
      <w:pPr>
        <w:jc w:val="center"/>
        <w:rPr>
          <w:rFonts w:ascii="仿宋" w:hAnsi="仿宋" w:eastAsia="仿宋"/>
          <w:color w:val="auto"/>
          <w:sz w:val="52"/>
          <w:szCs w:val="52"/>
          <w:highlight w:val="none"/>
        </w:rPr>
      </w:pPr>
    </w:p>
    <w:p>
      <w:pPr>
        <w:jc w:val="center"/>
        <w:rPr>
          <w:rFonts w:ascii="仿宋" w:hAnsi="仿宋" w:eastAsia="仿宋"/>
          <w:color w:val="auto"/>
          <w:sz w:val="52"/>
          <w:szCs w:val="52"/>
          <w:highlight w:val="none"/>
        </w:rPr>
      </w:pPr>
    </w:p>
    <w:p>
      <w:pPr>
        <w:jc w:val="center"/>
        <w:rPr>
          <w:rFonts w:ascii="仿宋" w:hAnsi="仿宋" w:eastAsia="仿宋"/>
          <w:color w:val="auto"/>
          <w:sz w:val="52"/>
          <w:szCs w:val="52"/>
          <w:highlight w:val="none"/>
        </w:rPr>
      </w:pP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竞标人名称</w:t>
      </w:r>
    </w:p>
    <w:p>
      <w:pPr>
        <w:jc w:val="center"/>
        <w:rPr>
          <w:rFonts w:ascii="仿宋" w:hAnsi="仿宋" w:eastAsia="仿宋"/>
          <w:color w:val="auto"/>
          <w:sz w:val="44"/>
          <w:szCs w:val="44"/>
          <w:highlight w:val="none"/>
        </w:rPr>
      </w:pPr>
    </w:p>
    <w:p>
      <w:pPr>
        <w:jc w:val="center"/>
        <w:rPr>
          <w:rFonts w:ascii="仿宋" w:hAnsi="仿宋" w:eastAsia="仿宋"/>
          <w:color w:val="auto"/>
          <w:sz w:val="44"/>
          <w:szCs w:val="44"/>
          <w:highlight w:val="none"/>
        </w:rPr>
      </w:pPr>
      <w:r>
        <w:rPr>
          <w:rFonts w:hint="eastAsia" w:ascii="仿宋" w:hAnsi="仿宋" w:eastAsia="仿宋"/>
          <w:color w:val="auto"/>
          <w:sz w:val="44"/>
          <w:szCs w:val="44"/>
          <w:highlight w:val="none"/>
        </w:rPr>
        <w:t>年    月    日</w:t>
      </w: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pStyle w:val="4"/>
        <w:rPr>
          <w:rFonts w:ascii="仿宋" w:hAnsi="仿宋" w:eastAsia="仿宋"/>
          <w:color w:val="auto"/>
          <w:highlight w:val="none"/>
        </w:rPr>
      </w:pPr>
      <w:bookmarkStart w:id="23" w:name="_Toc2950277"/>
      <w:bookmarkStart w:id="24" w:name="_Toc2950400"/>
      <w:bookmarkStart w:id="25" w:name="_Toc15220"/>
      <w:bookmarkStart w:id="26" w:name="_Toc21764"/>
      <w:r>
        <w:rPr>
          <w:rFonts w:hint="eastAsia" w:ascii="仿宋" w:hAnsi="仿宋" w:eastAsia="仿宋"/>
          <w:color w:val="auto"/>
          <w:highlight w:val="none"/>
        </w:rPr>
        <w:t>格式二：</w:t>
      </w:r>
      <w:bookmarkEnd w:id="23"/>
      <w:bookmarkEnd w:id="24"/>
      <w:bookmarkEnd w:id="25"/>
      <w:bookmarkEnd w:id="26"/>
    </w:p>
    <w:p>
      <w:pPr>
        <w:jc w:val="center"/>
        <w:rPr>
          <w:rFonts w:ascii="仿宋" w:hAnsi="仿宋" w:eastAsia="仿宋"/>
          <w:color w:val="auto"/>
          <w:sz w:val="32"/>
          <w:szCs w:val="32"/>
          <w:highlight w:val="none"/>
        </w:rPr>
      </w:pPr>
      <w:r>
        <w:rPr>
          <w:rFonts w:hint="eastAsia" w:ascii="仿宋" w:hAnsi="仿宋" w:eastAsia="仿宋"/>
          <w:color w:val="auto"/>
          <w:sz w:val="32"/>
          <w:szCs w:val="32"/>
          <w:highlight w:val="none"/>
        </w:rPr>
        <w:t>目录</w:t>
      </w:r>
    </w:p>
    <w:p>
      <w:pPr>
        <w:rPr>
          <w:rFonts w:ascii="仿宋" w:hAnsi="仿宋" w:eastAsia="仿宋"/>
          <w:color w:val="auto"/>
          <w:sz w:val="32"/>
          <w:szCs w:val="32"/>
          <w:highlight w:val="none"/>
        </w:rPr>
      </w:pPr>
    </w:p>
    <w:p>
      <w:pPr>
        <w:spacing w:line="480" w:lineRule="exact"/>
        <w:jc w:val="center"/>
        <w:rPr>
          <w:rFonts w:ascii="仿宋" w:hAnsi="仿宋" w:eastAsia="仿宋"/>
          <w:b/>
          <w:color w:val="auto"/>
          <w:sz w:val="28"/>
          <w:szCs w:val="28"/>
          <w:highlight w:val="none"/>
        </w:rPr>
      </w:pP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一、投标承诺书…………………………………………………………（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二、法定代表人授权委托书……………………………………………（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三、项目分项报价明细表………………………………………………（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四、项目服务方案、承诺和质量保证措施……………………………（ ）</w:t>
      </w:r>
    </w:p>
    <w:p>
      <w:pPr>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五、各类</w:t>
      </w:r>
      <w:r>
        <w:rPr>
          <w:rFonts w:hint="eastAsia" w:ascii="仿宋" w:hAnsi="仿宋" w:eastAsia="仿宋"/>
          <w:color w:val="auto"/>
          <w:sz w:val="28"/>
          <w:szCs w:val="28"/>
          <w:highlight w:val="none"/>
          <w:lang w:val="zh-CN"/>
        </w:rPr>
        <w:t>证明材料</w:t>
      </w:r>
      <w:r>
        <w:rPr>
          <w:rFonts w:hint="eastAsia" w:ascii="仿宋" w:hAnsi="仿宋" w:eastAsia="仿宋"/>
          <w:color w:val="auto"/>
          <w:sz w:val="28"/>
          <w:szCs w:val="28"/>
          <w:highlight w:val="none"/>
        </w:rPr>
        <w:t>………………… ………… ……………………… （ ）</w:t>
      </w:r>
    </w:p>
    <w:p>
      <w:pPr>
        <w:jc w:val="center"/>
        <w:rPr>
          <w:rFonts w:ascii="仿宋" w:hAnsi="仿宋" w:eastAsia="仿宋"/>
          <w:color w:val="auto"/>
          <w:sz w:val="32"/>
          <w:szCs w:val="32"/>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widowControl/>
        <w:rPr>
          <w:rFonts w:ascii="仿宋" w:hAnsi="仿宋" w:eastAsia="仿宋"/>
          <w:color w:val="auto"/>
          <w:sz w:val="44"/>
          <w:szCs w:val="44"/>
          <w:highlight w:val="none"/>
        </w:rPr>
      </w:pPr>
    </w:p>
    <w:p>
      <w:pPr>
        <w:rPr>
          <w:rFonts w:ascii="仿宋" w:hAnsi="仿宋" w:eastAsia="仿宋"/>
          <w:color w:val="auto"/>
          <w:sz w:val="44"/>
          <w:szCs w:val="44"/>
          <w:highlight w:val="none"/>
        </w:rPr>
      </w:pPr>
    </w:p>
    <w:p>
      <w:pPr>
        <w:pStyle w:val="4"/>
        <w:rPr>
          <w:rFonts w:ascii="仿宋" w:hAnsi="仿宋" w:eastAsia="仿宋"/>
          <w:color w:val="auto"/>
          <w:highlight w:val="none"/>
        </w:rPr>
      </w:pPr>
      <w:bookmarkStart w:id="27" w:name="_Toc27200"/>
      <w:bookmarkStart w:id="28" w:name="_Toc24516"/>
      <w:bookmarkStart w:id="29" w:name="_Toc2950278"/>
      <w:bookmarkStart w:id="30" w:name="_Toc2950401"/>
      <w:r>
        <w:rPr>
          <w:rFonts w:hint="eastAsia" w:ascii="仿宋" w:hAnsi="仿宋" w:eastAsia="仿宋"/>
          <w:color w:val="auto"/>
          <w:highlight w:val="none"/>
        </w:rPr>
        <w:t>格式三</w:t>
      </w:r>
      <w:bookmarkEnd w:id="27"/>
      <w:bookmarkEnd w:id="28"/>
      <w:bookmarkEnd w:id="29"/>
      <w:bookmarkEnd w:id="30"/>
    </w:p>
    <w:p>
      <w:pPr>
        <w:jc w:val="center"/>
        <w:rPr>
          <w:rFonts w:ascii="仿宋" w:hAnsi="仿宋" w:eastAsia="仿宋"/>
          <w:bCs/>
          <w:color w:val="auto"/>
          <w:sz w:val="28"/>
          <w:szCs w:val="28"/>
          <w:highlight w:val="none"/>
        </w:rPr>
      </w:pPr>
      <w:r>
        <w:rPr>
          <w:rFonts w:hint="eastAsia" w:ascii="仿宋" w:hAnsi="仿宋" w:eastAsia="仿宋"/>
          <w:bCs/>
          <w:color w:val="auto"/>
          <w:sz w:val="28"/>
          <w:szCs w:val="28"/>
          <w:highlight w:val="none"/>
        </w:rPr>
        <w:t>投标承诺书</w:t>
      </w:r>
    </w:p>
    <w:p>
      <w:pPr>
        <w:spacing w:line="360" w:lineRule="auto"/>
        <w:ind w:firstLine="56" w:firstLineChars="20"/>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鄂尔多斯市空港实业有限公司： </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1.按照已收到的项目编号为</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的</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2.一旦我方中标，我方保证在合同签订后履行服务内容。</w:t>
      </w:r>
    </w:p>
    <w:p>
      <w:pPr>
        <w:spacing w:line="360" w:lineRule="auto"/>
        <w:ind w:firstLine="57"/>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4.我方郑重声明：所提供的响应文件内容全部真实有效。</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5.我方</w:t>
      </w:r>
      <w:r>
        <w:rPr>
          <w:rFonts w:hint="eastAsia" w:ascii="仿宋" w:hAnsi="仿宋" w:eastAsia="仿宋"/>
          <w:color w:val="auto"/>
          <w:kern w:val="0"/>
          <w:sz w:val="28"/>
          <w:szCs w:val="28"/>
          <w:highlight w:val="none"/>
        </w:rPr>
        <w:t>接受招标文件所列须知中关于没收投标保证金的约定。</w:t>
      </w:r>
    </w:p>
    <w:p>
      <w:pPr>
        <w:spacing w:line="360" w:lineRule="auto"/>
        <w:ind w:firstLine="616" w:firstLineChars="220"/>
        <w:rPr>
          <w:rFonts w:ascii="仿宋" w:hAnsi="仿宋" w:eastAsia="仿宋"/>
          <w:color w:val="auto"/>
          <w:sz w:val="28"/>
          <w:szCs w:val="28"/>
          <w:highlight w:val="none"/>
        </w:rPr>
      </w:pPr>
      <w:r>
        <w:rPr>
          <w:rFonts w:hint="eastAsia" w:ascii="仿宋" w:hAnsi="仿宋" w:eastAsia="仿宋"/>
          <w:color w:val="auto"/>
          <w:sz w:val="28"/>
          <w:szCs w:val="28"/>
          <w:highlight w:val="none"/>
        </w:rPr>
        <w:t>6.我方同意提供</w:t>
      </w:r>
      <w:r>
        <w:rPr>
          <w:rFonts w:hint="eastAsia" w:ascii="仿宋" w:hAnsi="仿宋" w:eastAsia="仿宋"/>
          <w:color w:val="auto"/>
          <w:kern w:val="0"/>
          <w:sz w:val="28"/>
          <w:szCs w:val="28"/>
          <w:highlight w:val="none"/>
        </w:rPr>
        <w:t>按照贵方</w:t>
      </w:r>
      <w:r>
        <w:rPr>
          <w:rFonts w:hint="eastAsia" w:ascii="仿宋" w:hAnsi="仿宋" w:eastAsia="仿宋"/>
          <w:color w:val="auto"/>
          <w:sz w:val="28"/>
          <w:szCs w:val="28"/>
          <w:highlight w:val="none"/>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rPr>
        <w:t>供应商名称：</w:t>
      </w:r>
    </w:p>
    <w:p>
      <w:pPr>
        <w:autoSpaceDE w:val="0"/>
        <w:autoSpaceDN w:val="0"/>
        <w:adjustRightInd w:val="0"/>
        <w:spacing w:line="450" w:lineRule="exact"/>
        <w:ind w:right="246" w:firstLine="840" w:firstLineChars="300"/>
        <w:rPr>
          <w:rFonts w:ascii="仿宋" w:hAnsi="仿宋" w:eastAsia="仿宋"/>
          <w:color w:val="auto"/>
          <w:sz w:val="28"/>
          <w:szCs w:val="28"/>
          <w:highlight w:val="none"/>
        </w:rPr>
      </w:pPr>
      <w:r>
        <w:rPr>
          <w:rFonts w:hint="eastAsia" w:ascii="仿宋" w:hAnsi="仿宋" w:eastAsia="仿宋"/>
          <w:color w:val="auto"/>
          <w:kern w:val="0"/>
          <w:sz w:val="28"/>
          <w:szCs w:val="28"/>
          <w:highlight w:val="none"/>
        </w:rPr>
        <w:t xml:space="preserve">详细地址：                        </w:t>
      </w:r>
      <w:r>
        <w:rPr>
          <w:rFonts w:hint="eastAsia" w:ascii="仿宋" w:hAnsi="仿宋" w:eastAsia="仿宋"/>
          <w:color w:val="auto"/>
          <w:sz w:val="28"/>
          <w:szCs w:val="28"/>
          <w:highlight w:val="none"/>
        </w:rPr>
        <w:t>邮政编码：</w:t>
      </w:r>
    </w:p>
    <w:p>
      <w:pPr>
        <w:autoSpaceDE w:val="0"/>
        <w:autoSpaceDN w:val="0"/>
        <w:adjustRightInd w:val="0"/>
        <w:spacing w:line="450" w:lineRule="exact"/>
        <w:ind w:right="246" w:firstLine="840" w:firstLineChars="3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电    话：        传    真：      电子函件：</w:t>
      </w:r>
    </w:p>
    <w:p>
      <w:pPr>
        <w:autoSpaceDE w:val="0"/>
        <w:autoSpaceDN w:val="0"/>
        <w:adjustRightInd w:val="0"/>
        <w:spacing w:line="450" w:lineRule="exact"/>
        <w:ind w:right="246" w:firstLine="840" w:firstLineChars="300"/>
        <w:rPr>
          <w:rFonts w:ascii="仿宋" w:hAnsi="仿宋" w:eastAsia="仿宋"/>
          <w:color w:val="auto"/>
          <w:sz w:val="28"/>
          <w:szCs w:val="28"/>
          <w:highlight w:val="none"/>
        </w:rPr>
      </w:pPr>
      <w:r>
        <w:rPr>
          <w:rFonts w:hint="eastAsia" w:ascii="仿宋" w:hAnsi="仿宋" w:eastAsia="仿宋"/>
          <w:color w:val="auto"/>
          <w:sz w:val="28"/>
          <w:szCs w:val="28"/>
          <w:highlight w:val="none"/>
        </w:rPr>
        <w:t>供应商开户银行：                  账号/行号：</w:t>
      </w:r>
    </w:p>
    <w:p>
      <w:pPr>
        <w:adjustRightInd w:val="0"/>
        <w:snapToGrid w:val="0"/>
        <w:spacing w:line="450" w:lineRule="exact"/>
        <w:ind w:firstLine="840" w:firstLineChars="300"/>
        <w:rPr>
          <w:rFonts w:ascii="仿宋" w:hAnsi="仿宋" w:eastAsia="仿宋"/>
          <w:color w:val="auto"/>
          <w:sz w:val="28"/>
          <w:szCs w:val="28"/>
          <w:highlight w:val="none"/>
        </w:rPr>
      </w:pPr>
      <w:r>
        <w:rPr>
          <w:rFonts w:hint="eastAsia" w:ascii="仿宋" w:hAnsi="仿宋" w:eastAsia="仿宋"/>
          <w:color w:val="auto"/>
          <w:sz w:val="28"/>
          <w:szCs w:val="28"/>
          <w:highlight w:val="none"/>
        </w:rPr>
        <w:t>供应商法人签字：</w:t>
      </w:r>
    </w:p>
    <w:p>
      <w:pPr>
        <w:adjustRightInd w:val="0"/>
        <w:snapToGrid w:val="0"/>
        <w:spacing w:line="450" w:lineRule="exact"/>
        <w:ind w:firstLine="840" w:firstLineChars="300"/>
        <w:rPr>
          <w:rFonts w:ascii="仿宋" w:hAnsi="仿宋" w:eastAsia="仿宋"/>
          <w:color w:val="auto"/>
          <w:sz w:val="28"/>
          <w:szCs w:val="28"/>
          <w:highlight w:val="none"/>
          <w:u w:val="single"/>
        </w:rPr>
      </w:pPr>
      <w:r>
        <w:rPr>
          <w:rFonts w:hint="eastAsia" w:ascii="仿宋" w:hAnsi="仿宋" w:eastAsia="仿宋"/>
          <w:color w:val="auto"/>
          <w:sz w:val="28"/>
          <w:szCs w:val="28"/>
          <w:highlight w:val="none"/>
        </w:rPr>
        <w:t>供应商法人授权代表签字：</w:t>
      </w:r>
    </w:p>
    <w:p>
      <w:pPr>
        <w:autoSpaceDE w:val="0"/>
        <w:autoSpaceDN w:val="0"/>
        <w:spacing w:line="450" w:lineRule="exact"/>
        <w:ind w:firstLine="5460" w:firstLineChars="1950"/>
        <w:rPr>
          <w:rFonts w:ascii="仿宋" w:hAnsi="仿宋" w:eastAsia="仿宋"/>
          <w:color w:val="auto"/>
          <w:sz w:val="28"/>
          <w:szCs w:val="28"/>
          <w:highlight w:val="none"/>
        </w:rPr>
      </w:pPr>
      <w:r>
        <w:rPr>
          <w:rFonts w:hint="eastAsia" w:ascii="仿宋" w:hAnsi="仿宋" w:eastAsia="仿宋"/>
          <w:color w:val="auto"/>
          <w:sz w:val="28"/>
          <w:szCs w:val="28"/>
          <w:highlight w:val="none"/>
        </w:rPr>
        <w:t>供应商名称(公章)：</w:t>
      </w:r>
    </w:p>
    <w:p>
      <w:pPr>
        <w:autoSpaceDE w:val="0"/>
        <w:autoSpaceDN w:val="0"/>
        <w:spacing w:line="450" w:lineRule="exact"/>
        <w:ind w:firstLine="6020" w:firstLineChars="2150"/>
        <w:rPr>
          <w:rFonts w:ascii="仿宋" w:hAnsi="仿宋" w:eastAsia="仿宋"/>
          <w:color w:val="auto"/>
          <w:sz w:val="28"/>
          <w:szCs w:val="28"/>
          <w:highlight w:val="none"/>
        </w:rPr>
      </w:pPr>
      <w:r>
        <w:rPr>
          <w:rFonts w:hint="eastAsia" w:ascii="仿宋" w:hAnsi="仿宋" w:eastAsia="仿宋"/>
          <w:color w:val="auto"/>
          <w:sz w:val="28"/>
          <w:szCs w:val="28"/>
          <w:highlight w:val="none"/>
        </w:rPr>
        <w:t>年 月 日</w:t>
      </w:r>
    </w:p>
    <w:p>
      <w:pPr>
        <w:pStyle w:val="4"/>
        <w:rPr>
          <w:rFonts w:ascii="仿宋" w:hAnsi="仿宋" w:eastAsia="仿宋"/>
          <w:color w:val="auto"/>
          <w:highlight w:val="none"/>
        </w:rPr>
      </w:pPr>
      <w:bookmarkStart w:id="31" w:name="_Toc2950279"/>
      <w:bookmarkStart w:id="32" w:name="_Toc2950402"/>
      <w:bookmarkStart w:id="33" w:name="_Toc29004"/>
      <w:bookmarkStart w:id="34" w:name="_Toc1156"/>
      <w:r>
        <w:rPr>
          <w:rFonts w:hint="eastAsia" w:ascii="仿宋" w:hAnsi="仿宋" w:eastAsia="仿宋"/>
          <w:color w:val="auto"/>
          <w:highlight w:val="none"/>
        </w:rPr>
        <w:t>格式四</w:t>
      </w:r>
      <w:bookmarkEnd w:id="31"/>
      <w:bookmarkEnd w:id="32"/>
      <w:bookmarkEnd w:id="33"/>
      <w:bookmarkEnd w:id="34"/>
    </w:p>
    <w:p>
      <w:pPr>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法定代表人授权委托书</w:t>
      </w:r>
    </w:p>
    <w:p>
      <w:pPr>
        <w:spacing w:line="480" w:lineRule="exact"/>
        <w:ind w:firstLine="840" w:firstLineChars="30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 xml:space="preserve">兹委派我单位 </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（姓名）参加贵单位组织的          </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采购活动（项目编号：</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本授权书于签字盖章后生效，在贵</w:t>
      </w:r>
      <w:r>
        <w:rPr>
          <w:rFonts w:hint="eastAsia" w:ascii="仿宋" w:hAnsi="仿宋" w:eastAsia="仿宋"/>
          <w:color w:val="auto"/>
          <w:sz w:val="28"/>
          <w:szCs w:val="28"/>
          <w:highlight w:val="none"/>
        </w:rPr>
        <w:t>公司</w:t>
      </w:r>
      <w:r>
        <w:rPr>
          <w:rFonts w:ascii="仿宋" w:hAnsi="仿宋" w:eastAsia="仿宋"/>
          <w:color w:val="auto"/>
          <w:sz w:val="28"/>
          <w:szCs w:val="28"/>
          <w:highlight w:val="none"/>
        </w:rPr>
        <w:t>收到撤消授权的书面通知以前，本授权书一直有效。被授权人签署的所有文件不因授权的撤消而失效。</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委托代理人无转委权。</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特此委托。</w:t>
      </w: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pict>
          <v:shape id="Text Box 2" o:spid="_x0000_s1034" o:spt="202" type="#_x0000_t202" style="position:absolute;left:0pt;margin-left:270pt;margin-top:9.6pt;height:150pt;width:198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color w:val="auto"/>
          <w:sz w:val="28"/>
          <w:szCs w:val="28"/>
          <w:highlight w:val="none"/>
        </w:rPr>
        <w:pict>
          <v:shape id="Text Box 3" o:spid="_x0000_s1033" o:spt="202" type="#_x0000_t202" style="position:absolute;left:0pt;margin-left:-9pt;margin-top:8.6pt;height:150pt;width:207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竞标人：（公章）</w:t>
      </w:r>
    </w:p>
    <w:p>
      <w:pPr>
        <w:spacing w:line="450" w:lineRule="exact"/>
        <w:ind w:firstLine="56" w:firstLineChars="20"/>
        <w:rPr>
          <w:rFonts w:ascii="仿宋" w:hAnsi="仿宋" w:eastAsia="仿宋"/>
          <w:color w:val="auto"/>
          <w:sz w:val="28"/>
          <w:szCs w:val="28"/>
          <w:highlight w:val="none"/>
        </w:rPr>
      </w:pP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法定代表人：（签字）</w:t>
      </w:r>
    </w:p>
    <w:p>
      <w:pPr>
        <w:spacing w:line="450" w:lineRule="exact"/>
        <w:ind w:firstLine="56" w:firstLineChars="20"/>
        <w:rPr>
          <w:rFonts w:ascii="仿宋" w:hAnsi="仿宋" w:eastAsia="仿宋"/>
          <w:color w:val="auto"/>
          <w:sz w:val="28"/>
          <w:szCs w:val="28"/>
          <w:highlight w:val="none"/>
        </w:rPr>
      </w:pPr>
      <w:r>
        <w:rPr>
          <w:rFonts w:ascii="仿宋" w:hAnsi="仿宋" w:eastAsia="仿宋"/>
          <w:color w:val="auto"/>
          <w:sz w:val="28"/>
          <w:szCs w:val="28"/>
          <w:highlight w:val="none"/>
        </w:rPr>
        <w:t xml:space="preserve">                                   年   月   日</w:t>
      </w:r>
    </w:p>
    <w:p>
      <w:pPr>
        <w:spacing w:line="450" w:lineRule="exact"/>
        <w:ind w:firstLine="56" w:firstLineChars="20"/>
        <w:rPr>
          <w:rFonts w:ascii="仿宋" w:hAnsi="仿宋" w:eastAsia="仿宋"/>
          <w:color w:val="auto"/>
          <w:sz w:val="28"/>
          <w:szCs w:val="28"/>
          <w:highlight w:val="none"/>
        </w:rPr>
      </w:pPr>
    </w:p>
    <w:p>
      <w:pPr>
        <w:rPr>
          <w:rFonts w:ascii="仿宋" w:hAnsi="仿宋" w:eastAsia="仿宋"/>
          <w:color w:val="auto"/>
          <w:sz w:val="28"/>
          <w:szCs w:val="28"/>
          <w:highlight w:val="none"/>
        </w:rPr>
      </w:pPr>
    </w:p>
    <w:p>
      <w:pPr>
        <w:pStyle w:val="4"/>
        <w:rPr>
          <w:rFonts w:ascii="仿宋" w:hAnsi="仿宋" w:eastAsia="仿宋"/>
          <w:color w:val="auto"/>
          <w:highlight w:val="none"/>
        </w:rPr>
      </w:pPr>
      <w:bookmarkStart w:id="35" w:name="_Toc22925"/>
      <w:bookmarkStart w:id="36" w:name="_Toc2950403"/>
      <w:bookmarkStart w:id="37" w:name="_Toc943"/>
      <w:bookmarkStart w:id="38" w:name="_Toc2950280"/>
      <w:r>
        <w:rPr>
          <w:rFonts w:hint="eastAsia" w:ascii="仿宋" w:hAnsi="仿宋" w:eastAsia="仿宋"/>
          <w:color w:val="auto"/>
          <w:highlight w:val="none"/>
        </w:rPr>
        <w:t>格式五</w:t>
      </w:r>
      <w:bookmarkEnd w:id="35"/>
      <w:bookmarkEnd w:id="36"/>
      <w:bookmarkEnd w:id="37"/>
      <w:bookmarkEnd w:id="38"/>
    </w:p>
    <w:p>
      <w:pPr>
        <w:jc w:val="center"/>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投标项目分项报价明细表</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参考</w:t>
      </w:r>
      <w:r>
        <w:rPr>
          <w:rFonts w:hint="eastAsia" w:ascii="仿宋" w:hAnsi="仿宋" w:eastAsia="仿宋"/>
          <w:color w:val="auto"/>
          <w:sz w:val="28"/>
          <w:szCs w:val="28"/>
          <w:highlight w:val="none"/>
          <w:lang w:eastAsia="zh-CN"/>
        </w:rPr>
        <w:t>）</w:t>
      </w:r>
    </w:p>
    <w:p>
      <w:pPr>
        <w:spacing w:line="460" w:lineRule="exact"/>
        <w:jc w:val="center"/>
        <w:rPr>
          <w:rFonts w:ascii="仿宋" w:hAnsi="仿宋" w:eastAsia="仿宋"/>
          <w:b/>
          <w:color w:val="auto"/>
          <w:sz w:val="28"/>
          <w:szCs w:val="28"/>
          <w:highlight w:val="none"/>
        </w:rPr>
      </w:pPr>
    </w:p>
    <w:p>
      <w:pPr>
        <w:rPr>
          <w:rFonts w:ascii="仿宋" w:hAnsi="仿宋" w:eastAsia="仿宋"/>
          <w:color w:val="auto"/>
          <w:sz w:val="28"/>
          <w:szCs w:val="28"/>
          <w:highlight w:val="none"/>
        </w:rPr>
      </w:pPr>
      <w:r>
        <w:rPr>
          <w:rFonts w:hint="eastAsia" w:ascii="仿宋" w:hAnsi="仿宋" w:eastAsia="仿宋"/>
          <w:color w:val="auto"/>
          <w:sz w:val="28"/>
          <w:szCs w:val="28"/>
          <w:highlight w:val="none"/>
        </w:rPr>
        <w:t>项目名称：</w:t>
      </w:r>
    </w:p>
    <w:tbl>
      <w:tblPr>
        <w:tblStyle w:val="11"/>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66"/>
        <w:gridCol w:w="1403"/>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default" w:ascii="仿宋" w:hAnsi="仿宋" w:eastAsia="仿宋"/>
                <w:b/>
                <w:color w:val="auto"/>
                <w:sz w:val="28"/>
                <w:szCs w:val="28"/>
                <w:highlight w:val="none"/>
                <w:lang w:val="en-US" w:eastAsia="zh-CN"/>
              </w:rPr>
            </w:pPr>
            <w:r>
              <w:rPr>
                <w:rFonts w:hint="eastAsia" w:ascii="仿宋" w:hAnsi="仿宋" w:eastAsia="仿宋"/>
                <w:b/>
                <w:color w:val="auto"/>
                <w:sz w:val="28"/>
                <w:szCs w:val="28"/>
                <w:highlight w:val="none"/>
                <w:lang w:val="en-US" w:eastAsia="zh-CN"/>
              </w:rPr>
              <w:t>序号</w:t>
            </w:r>
          </w:p>
        </w:tc>
        <w:tc>
          <w:tcPr>
            <w:tcW w:w="2566" w:type="dxa"/>
            <w:vAlign w:val="center"/>
          </w:tcPr>
          <w:p>
            <w:pPr>
              <w:jc w:val="center"/>
              <w:rPr>
                <w:rFonts w:hint="default" w:ascii="仿宋" w:hAnsi="仿宋" w:eastAsia="仿宋"/>
                <w:b/>
                <w:color w:val="auto"/>
                <w:sz w:val="28"/>
                <w:szCs w:val="28"/>
                <w:highlight w:val="none"/>
                <w:lang w:val="en-US" w:eastAsia="zh-CN"/>
              </w:rPr>
            </w:pPr>
            <w:r>
              <w:rPr>
                <w:rFonts w:hint="eastAsia" w:ascii="仿宋" w:hAnsi="仿宋" w:eastAsia="仿宋"/>
                <w:b/>
                <w:color w:val="auto"/>
                <w:sz w:val="28"/>
                <w:szCs w:val="28"/>
                <w:highlight w:val="none"/>
              </w:rPr>
              <w:t>服务项目名称</w:t>
            </w:r>
            <w:r>
              <w:rPr>
                <w:rFonts w:hint="eastAsia" w:ascii="仿宋" w:hAnsi="仿宋" w:eastAsia="仿宋"/>
                <w:b/>
                <w:color w:val="auto"/>
                <w:sz w:val="28"/>
                <w:szCs w:val="28"/>
                <w:highlight w:val="none"/>
                <w:lang w:val="en-US" w:eastAsia="zh-CN"/>
              </w:rPr>
              <w:t>或区域</w:t>
            </w:r>
          </w:p>
        </w:tc>
        <w:tc>
          <w:tcPr>
            <w:tcW w:w="1403" w:type="dxa"/>
            <w:vAlign w:val="center"/>
          </w:tcPr>
          <w:p>
            <w:pPr>
              <w:jc w:val="center"/>
              <w:rPr>
                <w:rFonts w:hint="eastAsia" w:ascii="仿宋" w:hAnsi="仿宋" w:eastAsia="仿宋"/>
                <w:b/>
                <w:color w:val="auto"/>
                <w:sz w:val="28"/>
                <w:szCs w:val="28"/>
                <w:highlight w:val="none"/>
                <w:lang w:eastAsia="zh-CN"/>
              </w:rPr>
            </w:pPr>
            <w:r>
              <w:rPr>
                <w:rFonts w:hint="eastAsia" w:ascii="仿宋" w:hAnsi="仿宋" w:eastAsia="仿宋"/>
                <w:b/>
                <w:color w:val="auto"/>
                <w:sz w:val="28"/>
                <w:szCs w:val="28"/>
                <w:highlight w:val="none"/>
                <w:lang w:val="en-US" w:eastAsia="zh-CN"/>
              </w:rPr>
              <w:t>税率</w:t>
            </w:r>
          </w:p>
        </w:tc>
        <w:tc>
          <w:tcPr>
            <w:tcW w:w="1701" w:type="dxa"/>
            <w:vAlign w:val="center"/>
          </w:tcPr>
          <w:p>
            <w:pPr>
              <w:jc w:val="center"/>
              <w:rPr>
                <w:rFonts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月租摆</w:t>
            </w:r>
            <w:r>
              <w:rPr>
                <w:rFonts w:hint="eastAsia" w:ascii="仿宋" w:hAnsi="仿宋" w:eastAsia="仿宋"/>
                <w:b/>
                <w:color w:val="auto"/>
                <w:sz w:val="28"/>
                <w:szCs w:val="28"/>
                <w:highlight w:val="none"/>
              </w:rPr>
              <w:t>（元）</w:t>
            </w:r>
          </w:p>
        </w:tc>
        <w:tc>
          <w:tcPr>
            <w:tcW w:w="1843" w:type="dxa"/>
            <w:vAlign w:val="center"/>
          </w:tcPr>
          <w:p>
            <w:pPr>
              <w:jc w:val="center"/>
              <w:rPr>
                <w:rFonts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年租摆</w:t>
            </w:r>
            <w:r>
              <w:rPr>
                <w:rFonts w:hint="eastAsia" w:ascii="仿宋" w:hAnsi="仿宋" w:eastAsia="仿宋"/>
                <w:b/>
                <w:color w:val="auto"/>
                <w:sz w:val="28"/>
                <w:szCs w:val="28"/>
                <w:highlight w:val="none"/>
              </w:rPr>
              <w:t>（元）</w:t>
            </w:r>
          </w:p>
        </w:tc>
        <w:tc>
          <w:tcPr>
            <w:tcW w:w="1134" w:type="dxa"/>
            <w:vAlign w:val="center"/>
          </w:tcPr>
          <w:p>
            <w:pPr>
              <w:jc w:val="center"/>
              <w:rPr>
                <w:rFonts w:ascii="仿宋" w:hAnsi="仿宋" w:eastAsia="仿宋"/>
                <w:b/>
                <w:color w:val="auto"/>
                <w:sz w:val="28"/>
                <w:szCs w:val="28"/>
                <w:highlight w:val="none"/>
              </w:rPr>
            </w:pPr>
            <w:r>
              <w:rPr>
                <w:rFonts w:hint="eastAsia" w:ascii="仿宋" w:hAnsi="仿宋" w:eastAsia="仿宋"/>
                <w:b/>
                <w:color w:val="auto"/>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2566" w:type="dxa"/>
            <w:vAlign w:val="center"/>
          </w:tcPr>
          <w:p>
            <w:pPr>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货物名称</w:t>
            </w: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2566" w:type="dxa"/>
            <w:vAlign w:val="center"/>
          </w:tcPr>
          <w:p>
            <w:pPr>
              <w:jc w:val="center"/>
              <w:rPr>
                <w:rFonts w:ascii="仿宋" w:hAnsi="仿宋" w:eastAsia="仿宋" w:cs="Calibri"/>
                <w:color w:val="auto"/>
                <w:kern w:val="2"/>
                <w:sz w:val="28"/>
                <w:szCs w:val="28"/>
                <w:highlight w:val="none"/>
                <w:lang w:val="en-US" w:eastAsia="zh-CN" w:bidi="ar-SA"/>
              </w:rPr>
            </w:pPr>
            <w:r>
              <w:rPr>
                <w:rFonts w:hint="eastAsia" w:ascii="仿宋" w:hAnsi="仿宋" w:eastAsia="仿宋"/>
                <w:color w:val="auto"/>
                <w:sz w:val="28"/>
                <w:szCs w:val="28"/>
                <w:highlight w:val="none"/>
              </w:rPr>
              <w:t>其他服务费用</w:t>
            </w: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w:t>
            </w:r>
          </w:p>
        </w:tc>
        <w:tc>
          <w:tcPr>
            <w:tcW w:w="2566" w:type="dxa"/>
            <w:vAlign w:val="center"/>
          </w:tcPr>
          <w:p>
            <w:pPr>
              <w:jc w:val="center"/>
              <w:rPr>
                <w:rFonts w:hint="default" w:ascii="仿宋" w:hAnsi="仿宋" w:eastAsia="仿宋" w:cs="Calibri"/>
                <w:color w:val="auto"/>
                <w:kern w:val="2"/>
                <w:sz w:val="28"/>
                <w:szCs w:val="28"/>
                <w:highlight w:val="none"/>
                <w:lang w:val="en-US" w:eastAsia="zh-CN" w:bidi="ar-SA"/>
              </w:rPr>
            </w:pPr>
            <w:r>
              <w:rPr>
                <w:rFonts w:hint="eastAsia" w:ascii="仿宋" w:hAnsi="仿宋" w:eastAsia="仿宋"/>
                <w:color w:val="auto"/>
                <w:sz w:val="28"/>
                <w:szCs w:val="28"/>
                <w:highlight w:val="none"/>
              </w:rPr>
              <w:t>税费</w:t>
            </w: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both"/>
              <w:rPr>
                <w:rFonts w:hint="eastAsia" w:ascii="仿宋" w:hAnsi="仿宋" w:eastAsia="仿宋"/>
                <w:color w:val="auto"/>
                <w:sz w:val="28"/>
                <w:szCs w:val="28"/>
                <w:highlight w:val="none"/>
                <w:lang w:val="en-US" w:eastAsia="zh-CN"/>
              </w:rPr>
            </w:pPr>
          </w:p>
        </w:tc>
        <w:tc>
          <w:tcPr>
            <w:tcW w:w="2566" w:type="dxa"/>
            <w:vAlign w:val="center"/>
          </w:tcPr>
          <w:p>
            <w:pPr>
              <w:jc w:val="both"/>
              <w:rPr>
                <w:rFonts w:hint="default" w:ascii="仿宋" w:hAnsi="仿宋" w:eastAsia="仿宋"/>
                <w:color w:val="auto"/>
                <w:sz w:val="28"/>
                <w:szCs w:val="28"/>
                <w:highlight w:val="none"/>
                <w:lang w:val="en-US" w:eastAsia="zh-CN"/>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both"/>
              <w:rPr>
                <w:rFonts w:hint="default" w:ascii="仿宋" w:hAnsi="仿宋" w:eastAsia="仿宋"/>
                <w:color w:val="auto"/>
                <w:sz w:val="28"/>
                <w:szCs w:val="28"/>
                <w:highlight w:val="none"/>
                <w:lang w:val="en-US" w:eastAsia="zh-CN"/>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both"/>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both"/>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5" w:type="dxa"/>
            <w:vAlign w:val="center"/>
          </w:tcPr>
          <w:p>
            <w:pPr>
              <w:jc w:val="center"/>
              <w:rPr>
                <w:rFonts w:ascii="仿宋" w:hAnsi="仿宋" w:eastAsia="仿宋"/>
                <w:color w:val="auto"/>
                <w:sz w:val="28"/>
                <w:szCs w:val="28"/>
                <w:highlight w:val="none"/>
              </w:rPr>
            </w:pPr>
          </w:p>
        </w:tc>
        <w:tc>
          <w:tcPr>
            <w:tcW w:w="2566" w:type="dxa"/>
            <w:vAlign w:val="center"/>
          </w:tcPr>
          <w:p>
            <w:pPr>
              <w:jc w:val="center"/>
              <w:rPr>
                <w:rFonts w:ascii="仿宋" w:hAnsi="仿宋" w:eastAsia="仿宋"/>
                <w:color w:val="auto"/>
                <w:sz w:val="28"/>
                <w:szCs w:val="28"/>
                <w:highlight w:val="none"/>
              </w:rPr>
            </w:pPr>
          </w:p>
        </w:tc>
        <w:tc>
          <w:tcPr>
            <w:tcW w:w="1403" w:type="dxa"/>
            <w:vAlign w:val="center"/>
          </w:tcPr>
          <w:p>
            <w:pPr>
              <w:jc w:val="center"/>
              <w:rPr>
                <w:rFonts w:ascii="仿宋" w:hAnsi="仿宋" w:eastAsia="仿宋"/>
                <w:color w:val="auto"/>
                <w:sz w:val="28"/>
                <w:szCs w:val="28"/>
                <w:highlight w:val="none"/>
              </w:rPr>
            </w:pPr>
          </w:p>
        </w:tc>
        <w:tc>
          <w:tcPr>
            <w:tcW w:w="1701" w:type="dxa"/>
            <w:vAlign w:val="center"/>
          </w:tcPr>
          <w:p>
            <w:pPr>
              <w:jc w:val="center"/>
              <w:rPr>
                <w:rFonts w:ascii="仿宋" w:hAnsi="仿宋" w:eastAsia="仿宋"/>
                <w:color w:val="auto"/>
                <w:sz w:val="28"/>
                <w:szCs w:val="28"/>
                <w:highlight w:val="none"/>
              </w:rPr>
            </w:pPr>
          </w:p>
        </w:tc>
        <w:tc>
          <w:tcPr>
            <w:tcW w:w="1843" w:type="dxa"/>
            <w:vAlign w:val="center"/>
          </w:tcPr>
          <w:p>
            <w:pPr>
              <w:jc w:val="center"/>
              <w:rPr>
                <w:rFonts w:ascii="仿宋" w:hAnsi="仿宋" w:eastAsia="仿宋"/>
                <w:color w:val="auto"/>
                <w:sz w:val="28"/>
                <w:szCs w:val="28"/>
                <w:highlight w:val="none"/>
              </w:rPr>
            </w:pPr>
          </w:p>
        </w:tc>
        <w:tc>
          <w:tcPr>
            <w:tcW w:w="1134" w:type="dxa"/>
            <w:vAlign w:val="center"/>
          </w:tcPr>
          <w:p>
            <w:pPr>
              <w:jc w:val="center"/>
              <w:rPr>
                <w:rFonts w:ascii="仿宋" w:hAnsi="仿宋" w:eastAsia="仿宋"/>
                <w:color w:val="auto"/>
                <w:sz w:val="28"/>
                <w:szCs w:val="28"/>
                <w:highlight w:val="none"/>
              </w:rPr>
            </w:pPr>
          </w:p>
        </w:tc>
      </w:tr>
    </w:tbl>
    <w:p>
      <w:pPr>
        <w:adjustRightInd w:val="0"/>
        <w:snapToGrid w:val="0"/>
        <w:spacing w:line="460" w:lineRule="exact"/>
        <w:rPr>
          <w:rFonts w:ascii="仿宋" w:hAnsi="仿宋" w:eastAsia="仿宋"/>
          <w:color w:val="auto"/>
          <w:sz w:val="28"/>
          <w:szCs w:val="28"/>
          <w:highlight w:val="none"/>
        </w:rPr>
      </w:pPr>
      <w:r>
        <w:rPr>
          <w:rFonts w:hint="eastAsia" w:ascii="仿宋" w:hAnsi="仿宋" w:eastAsia="仿宋"/>
          <w:color w:val="auto"/>
          <w:sz w:val="28"/>
          <w:szCs w:val="28"/>
          <w:highlight w:val="none"/>
        </w:rPr>
        <w:t>说明：服务内容及人员配备尽可能详细列出。</w:t>
      </w:r>
    </w:p>
    <w:p>
      <w:pPr>
        <w:pStyle w:val="4"/>
        <w:rPr>
          <w:rFonts w:ascii="仿宋" w:hAnsi="仿宋" w:eastAsia="仿宋"/>
          <w:color w:val="auto"/>
          <w:highlight w:val="none"/>
        </w:rPr>
      </w:pPr>
      <w:bookmarkStart w:id="39" w:name="_Toc5749"/>
      <w:bookmarkStart w:id="40" w:name="_Toc359315317"/>
      <w:bookmarkStart w:id="41" w:name="_Toc29608"/>
      <w:bookmarkStart w:id="42" w:name="_Toc2950281"/>
      <w:bookmarkStart w:id="43" w:name="_Toc2950404"/>
      <w:r>
        <w:rPr>
          <w:rFonts w:hint="eastAsia" w:ascii="仿宋" w:hAnsi="仿宋" w:eastAsia="仿宋"/>
          <w:color w:val="auto"/>
          <w:highlight w:val="none"/>
        </w:rPr>
        <w:t>格式六：</w:t>
      </w:r>
      <w:bookmarkEnd w:id="39"/>
      <w:bookmarkEnd w:id="40"/>
      <w:bookmarkEnd w:id="41"/>
      <w:bookmarkEnd w:id="42"/>
      <w:bookmarkEnd w:id="43"/>
    </w:p>
    <w:p>
      <w:pPr>
        <w:ind w:firstLine="560" w:firstLineChars="200"/>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项目服务方案、服务承诺和质量保证</w:t>
      </w:r>
    </w:p>
    <w:p>
      <w:pPr>
        <w:autoSpaceDE w:val="0"/>
        <w:autoSpaceDN w:val="0"/>
        <w:spacing w:line="460" w:lineRule="exact"/>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供应商可根据采购文件要求自行编写，服务方案、服务承诺、质量保证尽可能详细、全面，否则有可能影响供应商的得分。</w:t>
      </w:r>
    </w:p>
    <w:p>
      <w:pPr>
        <w:autoSpaceDE w:val="0"/>
        <w:autoSpaceDN w:val="0"/>
        <w:spacing w:line="460" w:lineRule="exact"/>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注:投标人需要注明实施方案及工期。</w:t>
      </w:r>
    </w:p>
    <w:p>
      <w:pPr>
        <w:pStyle w:val="4"/>
        <w:rPr>
          <w:rFonts w:ascii="仿宋" w:hAnsi="仿宋" w:eastAsia="仿宋"/>
          <w:color w:val="auto"/>
          <w:highlight w:val="none"/>
        </w:rPr>
      </w:pPr>
      <w:bookmarkStart w:id="44" w:name="_Toc28785"/>
      <w:bookmarkStart w:id="45" w:name="_Toc32452"/>
      <w:bookmarkStart w:id="46" w:name="_Toc2950405"/>
      <w:bookmarkStart w:id="47" w:name="_Toc2950282"/>
      <w:r>
        <w:rPr>
          <w:rFonts w:hint="eastAsia" w:ascii="仿宋" w:hAnsi="仿宋" w:eastAsia="仿宋"/>
          <w:color w:val="auto"/>
          <w:highlight w:val="none"/>
        </w:rPr>
        <w:t>格式七：</w:t>
      </w:r>
      <w:bookmarkEnd w:id="44"/>
      <w:bookmarkEnd w:id="45"/>
      <w:bookmarkEnd w:id="46"/>
      <w:bookmarkEnd w:id="47"/>
    </w:p>
    <w:p>
      <w:pPr>
        <w:autoSpaceDE w:val="0"/>
        <w:autoSpaceDN w:val="0"/>
        <w:spacing w:line="460" w:lineRule="exact"/>
        <w:ind w:firstLine="560" w:firstLineChars="200"/>
        <w:jc w:val="left"/>
        <w:rPr>
          <w:rFonts w:ascii="仿宋" w:hAnsi="仿宋" w:eastAsia="仿宋"/>
          <w:color w:val="auto"/>
          <w:sz w:val="28"/>
          <w:szCs w:val="28"/>
          <w:highlight w:val="none"/>
        </w:rPr>
      </w:pPr>
      <w:r>
        <w:rPr>
          <w:rFonts w:hint="eastAsia" w:ascii="仿宋" w:hAnsi="仿宋" w:eastAsia="仿宋"/>
          <w:color w:val="auto"/>
          <w:sz w:val="28"/>
          <w:szCs w:val="28"/>
          <w:highlight w:val="none"/>
        </w:rPr>
        <w:t>供应商须在投标文件中提供企业工商注册所在地或项目所在地检察机关出具的《检察机关行贿犯罪档案查询结果告知函》（在有效期范围内）</w:t>
      </w:r>
    </w:p>
    <w:p>
      <w:pPr>
        <w:pStyle w:val="4"/>
        <w:rPr>
          <w:rFonts w:ascii="仿宋" w:hAnsi="仿宋" w:eastAsia="仿宋"/>
          <w:color w:val="auto"/>
          <w:highlight w:val="none"/>
        </w:rPr>
      </w:pPr>
      <w:bookmarkStart w:id="48" w:name="_Toc3517"/>
      <w:bookmarkStart w:id="49" w:name="_Toc12201"/>
      <w:bookmarkStart w:id="50" w:name="_Toc2950406"/>
      <w:bookmarkStart w:id="51" w:name="_Toc2950283"/>
      <w:r>
        <w:rPr>
          <w:rFonts w:hint="eastAsia" w:ascii="仿宋" w:hAnsi="仿宋" w:eastAsia="仿宋"/>
          <w:color w:val="auto"/>
          <w:highlight w:val="none"/>
        </w:rPr>
        <w:t>格式八：</w:t>
      </w:r>
      <w:bookmarkEnd w:id="48"/>
      <w:bookmarkEnd w:id="49"/>
      <w:bookmarkEnd w:id="50"/>
      <w:bookmarkEnd w:id="51"/>
      <w:r>
        <w:rPr>
          <w:rFonts w:ascii="仿宋" w:hAnsi="仿宋" w:eastAsia="仿宋"/>
          <w:color w:val="auto"/>
          <w:highlight w:val="none"/>
        </w:rPr>
        <w:t xml:space="preserve"> </w:t>
      </w:r>
    </w:p>
    <w:p>
      <w:pPr>
        <w:ind w:firstLine="560" w:firstLineChars="200"/>
        <w:jc w:val="left"/>
        <w:rPr>
          <w:rFonts w:ascii="仿宋" w:hAnsi="仿宋" w:eastAsia="仿宋"/>
          <w:b/>
          <w:color w:val="auto"/>
          <w:sz w:val="36"/>
          <w:szCs w:val="36"/>
          <w:highlight w:val="none"/>
        </w:rPr>
      </w:pPr>
      <w:r>
        <w:rPr>
          <w:rFonts w:hint="eastAsia" w:ascii="仿宋" w:hAnsi="仿宋" w:eastAsia="仿宋"/>
          <w:color w:val="auto"/>
          <w:sz w:val="28"/>
          <w:szCs w:val="28"/>
          <w:highlight w:val="none"/>
        </w:rPr>
        <w:t>具有大型绿植租摆服务项目证明材料，其他相关证明材料。</w:t>
      </w: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rFonts w:ascii="仿宋" w:hAnsi="仿宋" w:eastAsia="仿宋"/>
          <w:color w:val="auto"/>
          <w:sz w:val="36"/>
          <w:szCs w:val="44"/>
          <w:highlight w:val="none"/>
        </w:rPr>
      </w:pPr>
    </w:p>
    <w:p>
      <w:pPr>
        <w:rPr>
          <w:color w:val="auto"/>
          <w:szCs w:val="28"/>
          <w:highlight w:val="none"/>
        </w:rPr>
      </w:pPr>
    </w:p>
    <w:sectPr>
      <w:footerReference r:id="rId3"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82116E2-3A28-4112-9743-0CD358C4FCD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2BFCB606-6335-41E4-8D6B-0B2B64B9AE87}"/>
  </w:font>
  <w:font w:name="仿宋_GB2312">
    <w:panose1 w:val="02010609030101010101"/>
    <w:charset w:val="86"/>
    <w:family w:val="modern"/>
    <w:pitch w:val="default"/>
    <w:sig w:usb0="00000001" w:usb1="080E0000" w:usb2="00000000" w:usb3="00000000" w:csb0="00040000" w:csb1="00000000"/>
    <w:embedRegular r:id="rId3" w:fontKey="{9BC333A6-F801-4C78-9718-DD6902AE9D40}"/>
  </w:font>
  <w:font w:name="Cambria">
    <w:panose1 w:val="02040503050406030204"/>
    <w:charset w:val="00"/>
    <w:family w:val="roman"/>
    <w:pitch w:val="default"/>
    <w:sig w:usb0="E00006FF" w:usb1="420024FF" w:usb2="02000000" w:usb3="00000000" w:csb0="2000019F" w:csb1="00000000"/>
    <w:embedRegular r:id="rId4" w:fontKey="{157A83F3-A312-476D-8B66-716F7CADAD17}"/>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embedRegular r:id="rId5" w:fontKey="{4D3ECE52-C750-4952-A6CA-DE393AC655FA}"/>
  </w:font>
  <w:font w:name="方正小标宋简体">
    <w:panose1 w:val="03000509000000000000"/>
    <w:charset w:val="86"/>
    <w:family w:val="script"/>
    <w:pitch w:val="default"/>
    <w:sig w:usb0="00000001" w:usb1="080E0000" w:usb2="00000000" w:usb3="00000000" w:csb0="00040000" w:csb1="00000000"/>
    <w:embedRegular r:id="rId6" w:fontKey="{AD991B91-D449-4296-BFCA-F0A113372FC2}"/>
  </w:font>
  <w:font w:name="等线">
    <w:panose1 w:val="02010600030101010101"/>
    <w:charset w:val="86"/>
    <w:family w:val="auto"/>
    <w:pitch w:val="default"/>
    <w:sig w:usb0="A00002BF" w:usb1="38CF7CFA" w:usb2="00000016" w:usb3="00000000" w:csb0="0004000F" w:csb1="00000000"/>
    <w:embedRegular r:id="rId7" w:fontKey="{1B2742CE-0622-4DF3-83BC-63AF15B4D28F}"/>
  </w:font>
  <w:font w:name="楷体_GB2312">
    <w:altName w:val="楷体"/>
    <w:panose1 w:val="00000000000000000000"/>
    <w:charset w:val="86"/>
    <w:family w:val="swiss"/>
    <w:pitch w:val="default"/>
    <w:sig w:usb0="00000000" w:usb1="00000000" w:usb2="00000010" w:usb3="00000000" w:csb0="00040000" w:csb1="00000000"/>
    <w:embedRegular r:id="rId8" w:fontKey="{71A4B013-B926-42D8-802A-4531B83CF6EB}"/>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FFB757"/>
    <w:multiLevelType w:val="singleLevel"/>
    <w:tmpl w:val="A9FFB757"/>
    <w:lvl w:ilvl="0" w:tentative="0">
      <w:start w:val="1"/>
      <w:numFmt w:val="decimal"/>
      <w:lvlText w:val="%1."/>
      <w:lvlJc w:val="left"/>
      <w:pPr>
        <w:tabs>
          <w:tab w:val="left" w:pos="312"/>
        </w:tabs>
      </w:pPr>
    </w:lvl>
  </w:abstractNum>
  <w:abstractNum w:abstractNumId="1">
    <w:nsid w:val="B2C3E295"/>
    <w:multiLevelType w:val="singleLevel"/>
    <w:tmpl w:val="B2C3E295"/>
    <w:lvl w:ilvl="0" w:tentative="0">
      <w:start w:val="1"/>
      <w:numFmt w:val="decimal"/>
      <w:lvlText w:val="%1."/>
      <w:lvlJc w:val="left"/>
      <w:pPr>
        <w:tabs>
          <w:tab w:val="left" w:pos="312"/>
        </w:tabs>
      </w:pPr>
    </w:lvl>
  </w:abstractNum>
  <w:abstractNum w:abstractNumId="2">
    <w:nsid w:val="B4EB2ABB"/>
    <w:multiLevelType w:val="singleLevel"/>
    <w:tmpl w:val="B4EB2ABB"/>
    <w:lvl w:ilvl="0" w:tentative="0">
      <w:start w:val="1"/>
      <w:numFmt w:val="decimal"/>
      <w:lvlText w:val="%1."/>
      <w:lvlJc w:val="left"/>
      <w:pPr>
        <w:tabs>
          <w:tab w:val="left" w:pos="312"/>
        </w:tabs>
      </w:pPr>
    </w:lvl>
  </w:abstractNum>
  <w:abstractNum w:abstractNumId="3">
    <w:nsid w:val="53156764"/>
    <w:multiLevelType w:val="singleLevel"/>
    <w:tmpl w:val="53156764"/>
    <w:lvl w:ilvl="0" w:tentative="0">
      <w:start w:val="1"/>
      <w:numFmt w:val="decimal"/>
      <w:lvlText w:val="%1."/>
      <w:lvlJc w:val="left"/>
      <w:pPr>
        <w:tabs>
          <w:tab w:val="left" w:pos="312"/>
        </w:tabs>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A20D13"/>
    <w:rsid w:val="00000024"/>
    <w:rsid w:val="00001FF8"/>
    <w:rsid w:val="000035BE"/>
    <w:rsid w:val="0000367D"/>
    <w:rsid w:val="00003984"/>
    <w:rsid w:val="00006A1C"/>
    <w:rsid w:val="00007706"/>
    <w:rsid w:val="00007966"/>
    <w:rsid w:val="00016A2F"/>
    <w:rsid w:val="00016C74"/>
    <w:rsid w:val="00023047"/>
    <w:rsid w:val="000244D2"/>
    <w:rsid w:val="0002577C"/>
    <w:rsid w:val="00026C40"/>
    <w:rsid w:val="00040A90"/>
    <w:rsid w:val="00041B43"/>
    <w:rsid w:val="00045395"/>
    <w:rsid w:val="00046265"/>
    <w:rsid w:val="00047612"/>
    <w:rsid w:val="00047661"/>
    <w:rsid w:val="00050E06"/>
    <w:rsid w:val="000516AF"/>
    <w:rsid w:val="000538B2"/>
    <w:rsid w:val="0007090C"/>
    <w:rsid w:val="0007185C"/>
    <w:rsid w:val="00071FE6"/>
    <w:rsid w:val="0007357F"/>
    <w:rsid w:val="00077D80"/>
    <w:rsid w:val="00080461"/>
    <w:rsid w:val="00092B40"/>
    <w:rsid w:val="0009419A"/>
    <w:rsid w:val="000A00F3"/>
    <w:rsid w:val="000A6803"/>
    <w:rsid w:val="000B0EC3"/>
    <w:rsid w:val="000B1326"/>
    <w:rsid w:val="000B4CE5"/>
    <w:rsid w:val="000B626F"/>
    <w:rsid w:val="000C2CA3"/>
    <w:rsid w:val="000D7814"/>
    <w:rsid w:val="000D7DB6"/>
    <w:rsid w:val="000E17E1"/>
    <w:rsid w:val="000E241D"/>
    <w:rsid w:val="000E3D09"/>
    <w:rsid w:val="000E47CE"/>
    <w:rsid w:val="000E497E"/>
    <w:rsid w:val="000F2C6D"/>
    <w:rsid w:val="000F59DD"/>
    <w:rsid w:val="000F74A8"/>
    <w:rsid w:val="00103C29"/>
    <w:rsid w:val="00105A93"/>
    <w:rsid w:val="001063F4"/>
    <w:rsid w:val="00111A29"/>
    <w:rsid w:val="00112446"/>
    <w:rsid w:val="001126FF"/>
    <w:rsid w:val="0011297F"/>
    <w:rsid w:val="00116C66"/>
    <w:rsid w:val="0011741B"/>
    <w:rsid w:val="00126C01"/>
    <w:rsid w:val="00126ED8"/>
    <w:rsid w:val="001312B2"/>
    <w:rsid w:val="001353EA"/>
    <w:rsid w:val="00141CE7"/>
    <w:rsid w:val="00142433"/>
    <w:rsid w:val="00143A9D"/>
    <w:rsid w:val="00143D24"/>
    <w:rsid w:val="001459E1"/>
    <w:rsid w:val="001516AB"/>
    <w:rsid w:val="00153F5D"/>
    <w:rsid w:val="001568D3"/>
    <w:rsid w:val="0016070C"/>
    <w:rsid w:val="00160EED"/>
    <w:rsid w:val="0016454E"/>
    <w:rsid w:val="0016456F"/>
    <w:rsid w:val="00165FE5"/>
    <w:rsid w:val="0017066D"/>
    <w:rsid w:val="00170AE4"/>
    <w:rsid w:val="00174182"/>
    <w:rsid w:val="00176D82"/>
    <w:rsid w:val="00177FCC"/>
    <w:rsid w:val="0018038B"/>
    <w:rsid w:val="001A18B1"/>
    <w:rsid w:val="001A2D39"/>
    <w:rsid w:val="001B2303"/>
    <w:rsid w:val="001B5F23"/>
    <w:rsid w:val="001C4D46"/>
    <w:rsid w:val="001C4EDD"/>
    <w:rsid w:val="001C5422"/>
    <w:rsid w:val="001C5F3D"/>
    <w:rsid w:val="001C6343"/>
    <w:rsid w:val="001C6935"/>
    <w:rsid w:val="001C73B4"/>
    <w:rsid w:val="001D4855"/>
    <w:rsid w:val="001E7F3D"/>
    <w:rsid w:val="001F372B"/>
    <w:rsid w:val="001F40EE"/>
    <w:rsid w:val="001F79D8"/>
    <w:rsid w:val="002172B3"/>
    <w:rsid w:val="00217A85"/>
    <w:rsid w:val="00217FB3"/>
    <w:rsid w:val="00222254"/>
    <w:rsid w:val="0022308E"/>
    <w:rsid w:val="00223667"/>
    <w:rsid w:val="00225508"/>
    <w:rsid w:val="0022692A"/>
    <w:rsid w:val="002272FD"/>
    <w:rsid w:val="0023075E"/>
    <w:rsid w:val="0023410F"/>
    <w:rsid w:val="002348C8"/>
    <w:rsid w:val="002360C6"/>
    <w:rsid w:val="00243EE3"/>
    <w:rsid w:val="00251D44"/>
    <w:rsid w:val="0025210A"/>
    <w:rsid w:val="002553FC"/>
    <w:rsid w:val="002557F9"/>
    <w:rsid w:val="0026004A"/>
    <w:rsid w:val="0026485C"/>
    <w:rsid w:val="002667F3"/>
    <w:rsid w:val="00270703"/>
    <w:rsid w:val="00271C12"/>
    <w:rsid w:val="0027547E"/>
    <w:rsid w:val="00275C40"/>
    <w:rsid w:val="00275FDE"/>
    <w:rsid w:val="002861E4"/>
    <w:rsid w:val="00286C22"/>
    <w:rsid w:val="002926E0"/>
    <w:rsid w:val="002A01BA"/>
    <w:rsid w:val="002A071B"/>
    <w:rsid w:val="002A595A"/>
    <w:rsid w:val="002A79E9"/>
    <w:rsid w:val="002B506F"/>
    <w:rsid w:val="002B62FA"/>
    <w:rsid w:val="002C5287"/>
    <w:rsid w:val="002D011A"/>
    <w:rsid w:val="002D286E"/>
    <w:rsid w:val="002D588E"/>
    <w:rsid w:val="002D6456"/>
    <w:rsid w:val="002E69D4"/>
    <w:rsid w:val="002F1FFD"/>
    <w:rsid w:val="002F65F9"/>
    <w:rsid w:val="002F6744"/>
    <w:rsid w:val="002F7AEE"/>
    <w:rsid w:val="003015FF"/>
    <w:rsid w:val="003034F6"/>
    <w:rsid w:val="003039E2"/>
    <w:rsid w:val="00305178"/>
    <w:rsid w:val="0031237D"/>
    <w:rsid w:val="00314E01"/>
    <w:rsid w:val="00314E68"/>
    <w:rsid w:val="00316652"/>
    <w:rsid w:val="00320CC7"/>
    <w:rsid w:val="00321F9B"/>
    <w:rsid w:val="00331B68"/>
    <w:rsid w:val="003325AE"/>
    <w:rsid w:val="00333252"/>
    <w:rsid w:val="00333F06"/>
    <w:rsid w:val="00334958"/>
    <w:rsid w:val="00340912"/>
    <w:rsid w:val="003421BE"/>
    <w:rsid w:val="00345847"/>
    <w:rsid w:val="00350AEE"/>
    <w:rsid w:val="00350E8C"/>
    <w:rsid w:val="00355FA6"/>
    <w:rsid w:val="00361CCD"/>
    <w:rsid w:val="00363A89"/>
    <w:rsid w:val="0036584E"/>
    <w:rsid w:val="00367CB0"/>
    <w:rsid w:val="00374418"/>
    <w:rsid w:val="00383498"/>
    <w:rsid w:val="00385254"/>
    <w:rsid w:val="00397B55"/>
    <w:rsid w:val="003A0588"/>
    <w:rsid w:val="003A1A96"/>
    <w:rsid w:val="003A1FF8"/>
    <w:rsid w:val="003A7F82"/>
    <w:rsid w:val="003B27F8"/>
    <w:rsid w:val="003B2EAE"/>
    <w:rsid w:val="003B584E"/>
    <w:rsid w:val="003B75E8"/>
    <w:rsid w:val="003C0FD3"/>
    <w:rsid w:val="003C442B"/>
    <w:rsid w:val="003D757E"/>
    <w:rsid w:val="003E4A6B"/>
    <w:rsid w:val="003F0279"/>
    <w:rsid w:val="00403E50"/>
    <w:rsid w:val="00404665"/>
    <w:rsid w:val="00404CB1"/>
    <w:rsid w:val="0040751F"/>
    <w:rsid w:val="00412FCF"/>
    <w:rsid w:val="004168D2"/>
    <w:rsid w:val="00416E50"/>
    <w:rsid w:val="00426424"/>
    <w:rsid w:val="00426C4A"/>
    <w:rsid w:val="00430EF4"/>
    <w:rsid w:val="00431AE8"/>
    <w:rsid w:val="00432121"/>
    <w:rsid w:val="00436185"/>
    <w:rsid w:val="00440DEE"/>
    <w:rsid w:val="00445F3E"/>
    <w:rsid w:val="00455479"/>
    <w:rsid w:val="00455FE1"/>
    <w:rsid w:val="004610A7"/>
    <w:rsid w:val="0046766B"/>
    <w:rsid w:val="00477AC1"/>
    <w:rsid w:val="00483CAC"/>
    <w:rsid w:val="004906FE"/>
    <w:rsid w:val="004959D3"/>
    <w:rsid w:val="004A143A"/>
    <w:rsid w:val="004A4482"/>
    <w:rsid w:val="004A7C1E"/>
    <w:rsid w:val="004B2D51"/>
    <w:rsid w:val="004B53D3"/>
    <w:rsid w:val="004B55D3"/>
    <w:rsid w:val="004C34C0"/>
    <w:rsid w:val="004C3C79"/>
    <w:rsid w:val="004D1ADF"/>
    <w:rsid w:val="004D2991"/>
    <w:rsid w:val="004D678C"/>
    <w:rsid w:val="004E28E5"/>
    <w:rsid w:val="004E5053"/>
    <w:rsid w:val="004E71AA"/>
    <w:rsid w:val="004E7DD9"/>
    <w:rsid w:val="004F586D"/>
    <w:rsid w:val="00501348"/>
    <w:rsid w:val="0050437A"/>
    <w:rsid w:val="00506F53"/>
    <w:rsid w:val="00507E70"/>
    <w:rsid w:val="0051070D"/>
    <w:rsid w:val="005114D5"/>
    <w:rsid w:val="005154D8"/>
    <w:rsid w:val="00517A55"/>
    <w:rsid w:val="005240C3"/>
    <w:rsid w:val="005259E2"/>
    <w:rsid w:val="0052690E"/>
    <w:rsid w:val="0053397C"/>
    <w:rsid w:val="00535034"/>
    <w:rsid w:val="00540697"/>
    <w:rsid w:val="00547D14"/>
    <w:rsid w:val="00550C59"/>
    <w:rsid w:val="00551B97"/>
    <w:rsid w:val="00552051"/>
    <w:rsid w:val="00552FFF"/>
    <w:rsid w:val="00553C05"/>
    <w:rsid w:val="00555DCE"/>
    <w:rsid w:val="00555EFF"/>
    <w:rsid w:val="0055663E"/>
    <w:rsid w:val="0056245B"/>
    <w:rsid w:val="00570C10"/>
    <w:rsid w:val="005733CF"/>
    <w:rsid w:val="00574889"/>
    <w:rsid w:val="00577DF2"/>
    <w:rsid w:val="0058102E"/>
    <w:rsid w:val="00581161"/>
    <w:rsid w:val="005824B8"/>
    <w:rsid w:val="00585A54"/>
    <w:rsid w:val="00585CAF"/>
    <w:rsid w:val="00590EA7"/>
    <w:rsid w:val="005A0083"/>
    <w:rsid w:val="005A488C"/>
    <w:rsid w:val="005A7FED"/>
    <w:rsid w:val="005B0960"/>
    <w:rsid w:val="005B0A70"/>
    <w:rsid w:val="005C53DB"/>
    <w:rsid w:val="005D2774"/>
    <w:rsid w:val="005E17FE"/>
    <w:rsid w:val="005E496E"/>
    <w:rsid w:val="005F04AC"/>
    <w:rsid w:val="005F1F6B"/>
    <w:rsid w:val="0060227F"/>
    <w:rsid w:val="00615938"/>
    <w:rsid w:val="00622D6A"/>
    <w:rsid w:val="006230DF"/>
    <w:rsid w:val="0062696F"/>
    <w:rsid w:val="00627800"/>
    <w:rsid w:val="006347AF"/>
    <w:rsid w:val="006421B3"/>
    <w:rsid w:val="006423D7"/>
    <w:rsid w:val="006551D5"/>
    <w:rsid w:val="00662297"/>
    <w:rsid w:val="006716DF"/>
    <w:rsid w:val="00671D73"/>
    <w:rsid w:val="00677E11"/>
    <w:rsid w:val="00686D25"/>
    <w:rsid w:val="00687FF2"/>
    <w:rsid w:val="006924B1"/>
    <w:rsid w:val="00693D5F"/>
    <w:rsid w:val="00696887"/>
    <w:rsid w:val="006A3404"/>
    <w:rsid w:val="006A50FD"/>
    <w:rsid w:val="006A664A"/>
    <w:rsid w:val="006B10CF"/>
    <w:rsid w:val="006B3AAD"/>
    <w:rsid w:val="006B4E22"/>
    <w:rsid w:val="006B65A3"/>
    <w:rsid w:val="006B6CDF"/>
    <w:rsid w:val="006C1761"/>
    <w:rsid w:val="006C57FA"/>
    <w:rsid w:val="006C6221"/>
    <w:rsid w:val="006D1AEE"/>
    <w:rsid w:val="006D4CA8"/>
    <w:rsid w:val="006E1646"/>
    <w:rsid w:val="006E3387"/>
    <w:rsid w:val="006E7161"/>
    <w:rsid w:val="006F102A"/>
    <w:rsid w:val="006F1E3D"/>
    <w:rsid w:val="006F7299"/>
    <w:rsid w:val="00711A1B"/>
    <w:rsid w:val="007170C5"/>
    <w:rsid w:val="007227AE"/>
    <w:rsid w:val="00723FF8"/>
    <w:rsid w:val="007243DA"/>
    <w:rsid w:val="00724EC0"/>
    <w:rsid w:val="007262C9"/>
    <w:rsid w:val="00726EB6"/>
    <w:rsid w:val="00731428"/>
    <w:rsid w:val="00734926"/>
    <w:rsid w:val="00744987"/>
    <w:rsid w:val="0075139E"/>
    <w:rsid w:val="007547F8"/>
    <w:rsid w:val="0075546B"/>
    <w:rsid w:val="00765AAE"/>
    <w:rsid w:val="00777FB1"/>
    <w:rsid w:val="007870AA"/>
    <w:rsid w:val="00787267"/>
    <w:rsid w:val="007912FD"/>
    <w:rsid w:val="007934D6"/>
    <w:rsid w:val="007951E3"/>
    <w:rsid w:val="007959C7"/>
    <w:rsid w:val="00796909"/>
    <w:rsid w:val="007A3598"/>
    <w:rsid w:val="007B1DA3"/>
    <w:rsid w:val="007C0FC5"/>
    <w:rsid w:val="007C40BA"/>
    <w:rsid w:val="007D7A93"/>
    <w:rsid w:val="007E1F55"/>
    <w:rsid w:val="007E262E"/>
    <w:rsid w:val="007E52A0"/>
    <w:rsid w:val="007E6667"/>
    <w:rsid w:val="007E68D1"/>
    <w:rsid w:val="007E6BE7"/>
    <w:rsid w:val="007E725C"/>
    <w:rsid w:val="007F0994"/>
    <w:rsid w:val="007F0B26"/>
    <w:rsid w:val="007F601D"/>
    <w:rsid w:val="007F6C43"/>
    <w:rsid w:val="0080350D"/>
    <w:rsid w:val="00805819"/>
    <w:rsid w:val="008135F0"/>
    <w:rsid w:val="00821CEF"/>
    <w:rsid w:val="0082471A"/>
    <w:rsid w:val="0082538C"/>
    <w:rsid w:val="00826980"/>
    <w:rsid w:val="008273A3"/>
    <w:rsid w:val="008328FF"/>
    <w:rsid w:val="00835562"/>
    <w:rsid w:val="008355F9"/>
    <w:rsid w:val="00841086"/>
    <w:rsid w:val="008434C0"/>
    <w:rsid w:val="00843AA5"/>
    <w:rsid w:val="0084537B"/>
    <w:rsid w:val="00847AE5"/>
    <w:rsid w:val="0085042D"/>
    <w:rsid w:val="00856463"/>
    <w:rsid w:val="00856996"/>
    <w:rsid w:val="008615DE"/>
    <w:rsid w:val="0086419F"/>
    <w:rsid w:val="008668D6"/>
    <w:rsid w:val="00867FF6"/>
    <w:rsid w:val="00884595"/>
    <w:rsid w:val="00884BC7"/>
    <w:rsid w:val="00885491"/>
    <w:rsid w:val="008879E6"/>
    <w:rsid w:val="00890345"/>
    <w:rsid w:val="00894764"/>
    <w:rsid w:val="00896DBB"/>
    <w:rsid w:val="008A5D3C"/>
    <w:rsid w:val="008B4B4F"/>
    <w:rsid w:val="008B519D"/>
    <w:rsid w:val="008D0C18"/>
    <w:rsid w:val="008D3918"/>
    <w:rsid w:val="008D3CC2"/>
    <w:rsid w:val="008D4EB5"/>
    <w:rsid w:val="008F520E"/>
    <w:rsid w:val="008F7099"/>
    <w:rsid w:val="00902B40"/>
    <w:rsid w:val="009030D4"/>
    <w:rsid w:val="009047A1"/>
    <w:rsid w:val="00904FBD"/>
    <w:rsid w:val="00905003"/>
    <w:rsid w:val="009136C5"/>
    <w:rsid w:val="009139C2"/>
    <w:rsid w:val="009155B9"/>
    <w:rsid w:val="00915784"/>
    <w:rsid w:val="00915F4D"/>
    <w:rsid w:val="00917D9D"/>
    <w:rsid w:val="009228AB"/>
    <w:rsid w:val="009229E3"/>
    <w:rsid w:val="009241DC"/>
    <w:rsid w:val="00926F34"/>
    <w:rsid w:val="00933BAD"/>
    <w:rsid w:val="00935242"/>
    <w:rsid w:val="00941874"/>
    <w:rsid w:val="00945532"/>
    <w:rsid w:val="00955EE7"/>
    <w:rsid w:val="00965FB8"/>
    <w:rsid w:val="00966348"/>
    <w:rsid w:val="009726E6"/>
    <w:rsid w:val="00974BF7"/>
    <w:rsid w:val="0098222B"/>
    <w:rsid w:val="00985FBC"/>
    <w:rsid w:val="00991A72"/>
    <w:rsid w:val="009A3448"/>
    <w:rsid w:val="009A5E7C"/>
    <w:rsid w:val="009A6784"/>
    <w:rsid w:val="009B3246"/>
    <w:rsid w:val="009B4439"/>
    <w:rsid w:val="009B4C50"/>
    <w:rsid w:val="009B732D"/>
    <w:rsid w:val="009B7BE4"/>
    <w:rsid w:val="009C303B"/>
    <w:rsid w:val="009C3E46"/>
    <w:rsid w:val="009C57F2"/>
    <w:rsid w:val="009C7EFB"/>
    <w:rsid w:val="009D38CA"/>
    <w:rsid w:val="009E00F0"/>
    <w:rsid w:val="009E61DC"/>
    <w:rsid w:val="009F3EFE"/>
    <w:rsid w:val="009F5ADD"/>
    <w:rsid w:val="00A10E7E"/>
    <w:rsid w:val="00A12CD9"/>
    <w:rsid w:val="00A1360E"/>
    <w:rsid w:val="00A15DFB"/>
    <w:rsid w:val="00A20D13"/>
    <w:rsid w:val="00A2620F"/>
    <w:rsid w:val="00A34D52"/>
    <w:rsid w:val="00A417C2"/>
    <w:rsid w:val="00A41D67"/>
    <w:rsid w:val="00A42258"/>
    <w:rsid w:val="00A43007"/>
    <w:rsid w:val="00A47AE8"/>
    <w:rsid w:val="00A547A9"/>
    <w:rsid w:val="00A63E9A"/>
    <w:rsid w:val="00A92682"/>
    <w:rsid w:val="00AA63BE"/>
    <w:rsid w:val="00AA6A83"/>
    <w:rsid w:val="00AA71E7"/>
    <w:rsid w:val="00AA788F"/>
    <w:rsid w:val="00AB0B07"/>
    <w:rsid w:val="00AB0CDE"/>
    <w:rsid w:val="00AB39AC"/>
    <w:rsid w:val="00AB4BB6"/>
    <w:rsid w:val="00AC12B8"/>
    <w:rsid w:val="00AC5ADF"/>
    <w:rsid w:val="00AD69A6"/>
    <w:rsid w:val="00AE043E"/>
    <w:rsid w:val="00AF0A04"/>
    <w:rsid w:val="00AF26F6"/>
    <w:rsid w:val="00AF37CB"/>
    <w:rsid w:val="00AF5E57"/>
    <w:rsid w:val="00AF6600"/>
    <w:rsid w:val="00AF6D03"/>
    <w:rsid w:val="00AF7E10"/>
    <w:rsid w:val="00B010B1"/>
    <w:rsid w:val="00B02B7D"/>
    <w:rsid w:val="00B05D33"/>
    <w:rsid w:val="00B212E3"/>
    <w:rsid w:val="00B23864"/>
    <w:rsid w:val="00B27BCC"/>
    <w:rsid w:val="00B36465"/>
    <w:rsid w:val="00B41952"/>
    <w:rsid w:val="00B420F2"/>
    <w:rsid w:val="00B4287B"/>
    <w:rsid w:val="00B45932"/>
    <w:rsid w:val="00B45EC7"/>
    <w:rsid w:val="00B65541"/>
    <w:rsid w:val="00B676C5"/>
    <w:rsid w:val="00B742F3"/>
    <w:rsid w:val="00B8086C"/>
    <w:rsid w:val="00B81DD9"/>
    <w:rsid w:val="00BA27FA"/>
    <w:rsid w:val="00BA3DAF"/>
    <w:rsid w:val="00BB01E2"/>
    <w:rsid w:val="00BB4826"/>
    <w:rsid w:val="00BB518F"/>
    <w:rsid w:val="00BC5B98"/>
    <w:rsid w:val="00BC67A5"/>
    <w:rsid w:val="00BD1CAE"/>
    <w:rsid w:val="00BD2CBD"/>
    <w:rsid w:val="00BD4523"/>
    <w:rsid w:val="00BD5390"/>
    <w:rsid w:val="00BD665B"/>
    <w:rsid w:val="00BE2353"/>
    <w:rsid w:val="00BE4677"/>
    <w:rsid w:val="00BF28AA"/>
    <w:rsid w:val="00BF5BC8"/>
    <w:rsid w:val="00C04559"/>
    <w:rsid w:val="00C06A93"/>
    <w:rsid w:val="00C113CD"/>
    <w:rsid w:val="00C24A80"/>
    <w:rsid w:val="00C24C41"/>
    <w:rsid w:val="00C32DFF"/>
    <w:rsid w:val="00C35B51"/>
    <w:rsid w:val="00C404FB"/>
    <w:rsid w:val="00C47704"/>
    <w:rsid w:val="00C64138"/>
    <w:rsid w:val="00C65DF4"/>
    <w:rsid w:val="00C71469"/>
    <w:rsid w:val="00C764D1"/>
    <w:rsid w:val="00C775B8"/>
    <w:rsid w:val="00C80681"/>
    <w:rsid w:val="00C81B51"/>
    <w:rsid w:val="00C83B6E"/>
    <w:rsid w:val="00C84BBB"/>
    <w:rsid w:val="00C8763C"/>
    <w:rsid w:val="00C9127E"/>
    <w:rsid w:val="00C9132D"/>
    <w:rsid w:val="00C952F6"/>
    <w:rsid w:val="00C976F6"/>
    <w:rsid w:val="00CA1C12"/>
    <w:rsid w:val="00CA1ED5"/>
    <w:rsid w:val="00CA63E1"/>
    <w:rsid w:val="00CB3966"/>
    <w:rsid w:val="00CB4856"/>
    <w:rsid w:val="00CC3394"/>
    <w:rsid w:val="00CC34B1"/>
    <w:rsid w:val="00CD2878"/>
    <w:rsid w:val="00CD37DB"/>
    <w:rsid w:val="00CD4148"/>
    <w:rsid w:val="00CD57B7"/>
    <w:rsid w:val="00CD6E91"/>
    <w:rsid w:val="00CD7D82"/>
    <w:rsid w:val="00CE5526"/>
    <w:rsid w:val="00CF05B7"/>
    <w:rsid w:val="00CF1515"/>
    <w:rsid w:val="00CF2DE2"/>
    <w:rsid w:val="00CF3D55"/>
    <w:rsid w:val="00D018F2"/>
    <w:rsid w:val="00D055E7"/>
    <w:rsid w:val="00D16C61"/>
    <w:rsid w:val="00D1725E"/>
    <w:rsid w:val="00D2745E"/>
    <w:rsid w:val="00D31029"/>
    <w:rsid w:val="00D34853"/>
    <w:rsid w:val="00D35E35"/>
    <w:rsid w:val="00D3744B"/>
    <w:rsid w:val="00D37B19"/>
    <w:rsid w:val="00D43B98"/>
    <w:rsid w:val="00D454CC"/>
    <w:rsid w:val="00D502DA"/>
    <w:rsid w:val="00D509C8"/>
    <w:rsid w:val="00D5245A"/>
    <w:rsid w:val="00D5255D"/>
    <w:rsid w:val="00D53D5F"/>
    <w:rsid w:val="00D547BB"/>
    <w:rsid w:val="00D72237"/>
    <w:rsid w:val="00D72D16"/>
    <w:rsid w:val="00D75A22"/>
    <w:rsid w:val="00D76A2F"/>
    <w:rsid w:val="00D840B8"/>
    <w:rsid w:val="00D90BC6"/>
    <w:rsid w:val="00D93DEC"/>
    <w:rsid w:val="00D93E78"/>
    <w:rsid w:val="00D95B7C"/>
    <w:rsid w:val="00DA7347"/>
    <w:rsid w:val="00DB31C6"/>
    <w:rsid w:val="00DB7D0B"/>
    <w:rsid w:val="00DC027A"/>
    <w:rsid w:val="00DC46CB"/>
    <w:rsid w:val="00DC77AE"/>
    <w:rsid w:val="00DD1802"/>
    <w:rsid w:val="00DD36AA"/>
    <w:rsid w:val="00DE11CF"/>
    <w:rsid w:val="00DE4698"/>
    <w:rsid w:val="00DE477B"/>
    <w:rsid w:val="00DE57C5"/>
    <w:rsid w:val="00DF0D16"/>
    <w:rsid w:val="00DF10E5"/>
    <w:rsid w:val="00DF4142"/>
    <w:rsid w:val="00DF7448"/>
    <w:rsid w:val="00E021FF"/>
    <w:rsid w:val="00E07445"/>
    <w:rsid w:val="00E11B08"/>
    <w:rsid w:val="00E13813"/>
    <w:rsid w:val="00E1563F"/>
    <w:rsid w:val="00E162AB"/>
    <w:rsid w:val="00E17E03"/>
    <w:rsid w:val="00E22C8E"/>
    <w:rsid w:val="00E33A97"/>
    <w:rsid w:val="00E4084D"/>
    <w:rsid w:val="00E44200"/>
    <w:rsid w:val="00E44EAD"/>
    <w:rsid w:val="00E534AF"/>
    <w:rsid w:val="00E54CD2"/>
    <w:rsid w:val="00E54DEB"/>
    <w:rsid w:val="00E5661A"/>
    <w:rsid w:val="00E568C1"/>
    <w:rsid w:val="00E60A08"/>
    <w:rsid w:val="00E61B38"/>
    <w:rsid w:val="00E705CA"/>
    <w:rsid w:val="00E7481D"/>
    <w:rsid w:val="00E759EA"/>
    <w:rsid w:val="00E77766"/>
    <w:rsid w:val="00E77B31"/>
    <w:rsid w:val="00E81F62"/>
    <w:rsid w:val="00E83EE4"/>
    <w:rsid w:val="00E84F7E"/>
    <w:rsid w:val="00E8550C"/>
    <w:rsid w:val="00E93D9E"/>
    <w:rsid w:val="00E9429E"/>
    <w:rsid w:val="00E944A6"/>
    <w:rsid w:val="00E9548C"/>
    <w:rsid w:val="00E978F3"/>
    <w:rsid w:val="00EA0E0F"/>
    <w:rsid w:val="00EB2A8D"/>
    <w:rsid w:val="00EB4D47"/>
    <w:rsid w:val="00EB50B0"/>
    <w:rsid w:val="00EB5623"/>
    <w:rsid w:val="00EC2954"/>
    <w:rsid w:val="00EC32B3"/>
    <w:rsid w:val="00EC5312"/>
    <w:rsid w:val="00ED1662"/>
    <w:rsid w:val="00EE0303"/>
    <w:rsid w:val="00EF7D4D"/>
    <w:rsid w:val="00F0128D"/>
    <w:rsid w:val="00F01A74"/>
    <w:rsid w:val="00F028EB"/>
    <w:rsid w:val="00F03927"/>
    <w:rsid w:val="00F0420E"/>
    <w:rsid w:val="00F0509F"/>
    <w:rsid w:val="00F064B2"/>
    <w:rsid w:val="00F06C86"/>
    <w:rsid w:val="00F071B9"/>
    <w:rsid w:val="00F1146C"/>
    <w:rsid w:val="00F15131"/>
    <w:rsid w:val="00F16346"/>
    <w:rsid w:val="00F165C8"/>
    <w:rsid w:val="00F16FD1"/>
    <w:rsid w:val="00F23342"/>
    <w:rsid w:val="00F26107"/>
    <w:rsid w:val="00F2656C"/>
    <w:rsid w:val="00F3073F"/>
    <w:rsid w:val="00F30C78"/>
    <w:rsid w:val="00F3206E"/>
    <w:rsid w:val="00F3784F"/>
    <w:rsid w:val="00F37BBC"/>
    <w:rsid w:val="00F42331"/>
    <w:rsid w:val="00F4249E"/>
    <w:rsid w:val="00F424C2"/>
    <w:rsid w:val="00F426AB"/>
    <w:rsid w:val="00F537FC"/>
    <w:rsid w:val="00F57506"/>
    <w:rsid w:val="00F57B1F"/>
    <w:rsid w:val="00F6239E"/>
    <w:rsid w:val="00F74B50"/>
    <w:rsid w:val="00F82BDF"/>
    <w:rsid w:val="00F84738"/>
    <w:rsid w:val="00F85363"/>
    <w:rsid w:val="00F87521"/>
    <w:rsid w:val="00F90C88"/>
    <w:rsid w:val="00F940AE"/>
    <w:rsid w:val="00F955E7"/>
    <w:rsid w:val="00FA4FEE"/>
    <w:rsid w:val="00FA522E"/>
    <w:rsid w:val="00FA79E2"/>
    <w:rsid w:val="00FB14AC"/>
    <w:rsid w:val="00FC547F"/>
    <w:rsid w:val="00FC6B98"/>
    <w:rsid w:val="00FC7F1F"/>
    <w:rsid w:val="00FD1525"/>
    <w:rsid w:val="00FD5C33"/>
    <w:rsid w:val="00FD653A"/>
    <w:rsid w:val="00FD7317"/>
    <w:rsid w:val="00FF5F79"/>
    <w:rsid w:val="0ECF6366"/>
    <w:rsid w:val="13725E04"/>
    <w:rsid w:val="180A2E6A"/>
    <w:rsid w:val="182E403B"/>
    <w:rsid w:val="26244A34"/>
    <w:rsid w:val="2C375DB1"/>
    <w:rsid w:val="2C6B6F80"/>
    <w:rsid w:val="2C8C5D24"/>
    <w:rsid w:val="2D08353B"/>
    <w:rsid w:val="3A314FEB"/>
    <w:rsid w:val="3E164F9A"/>
    <w:rsid w:val="43BE1989"/>
    <w:rsid w:val="4A572B96"/>
    <w:rsid w:val="4BB123C2"/>
    <w:rsid w:val="4E4E0A04"/>
    <w:rsid w:val="4F045593"/>
    <w:rsid w:val="52102850"/>
    <w:rsid w:val="529F2C8A"/>
    <w:rsid w:val="57C20C8A"/>
    <w:rsid w:val="60321B50"/>
    <w:rsid w:val="605E76C6"/>
    <w:rsid w:val="60F2511B"/>
    <w:rsid w:val="6562730B"/>
    <w:rsid w:val="67C5259E"/>
    <w:rsid w:val="6AAC038F"/>
    <w:rsid w:val="6C744712"/>
    <w:rsid w:val="6E7D35D3"/>
    <w:rsid w:val="73DC7CF1"/>
    <w:rsid w:val="74290425"/>
    <w:rsid w:val="74AF129A"/>
    <w:rsid w:val="761743DC"/>
    <w:rsid w:val="7A8D6E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ocked="1"/>
    <w:lsdException w:qFormat="1" w:unhideWhenUsed="0" w:uiPriority="20" w:semiHidden="0" w:name="Emphasis" w:locked="1"/>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3"/>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4"/>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jc w:val="both"/>
    </w:pPr>
    <w:rPr>
      <w:rFonts w:ascii="Calibri" w:hAnsi="Calibri"/>
      <w:kern w:val="2"/>
      <w:sz w:val="21"/>
      <w:szCs w:val="22"/>
    </w:rPr>
  </w:style>
  <w:style w:type="paragraph" w:styleId="5">
    <w:name w:val="Plain Text"/>
    <w:basedOn w:val="1"/>
    <w:link w:val="29"/>
    <w:qFormat/>
    <w:uiPriority w:val="0"/>
    <w:pPr>
      <w:jc w:val="left"/>
    </w:pPr>
    <w:rPr>
      <w:rFonts w:ascii="宋体" w:hAnsi="Courier New" w:cs="宋体"/>
      <w:kern w:val="0"/>
    </w:rPr>
  </w:style>
  <w:style w:type="paragraph" w:styleId="6">
    <w:name w:val="Balloon Text"/>
    <w:basedOn w:val="1"/>
    <w:link w:val="25"/>
    <w:qFormat/>
    <w:uiPriority w:val="99"/>
    <w:rPr>
      <w:rFonts w:ascii="Times New Roman" w:hAnsi="Times New Roman" w:cs="Times New Roman"/>
      <w:kern w:val="0"/>
      <w:sz w:val="18"/>
      <w:szCs w:val="18"/>
    </w:rPr>
  </w:style>
  <w:style w:type="paragraph" w:styleId="7">
    <w:name w:val="footer"/>
    <w:basedOn w:val="1"/>
    <w:link w:val="26"/>
    <w:qFormat/>
    <w:uiPriority w:val="0"/>
    <w:pPr>
      <w:tabs>
        <w:tab w:val="center" w:pos="4153"/>
        <w:tab w:val="right" w:pos="8306"/>
      </w:tabs>
      <w:snapToGrid w:val="0"/>
      <w:jc w:val="left"/>
    </w:pPr>
    <w:rPr>
      <w:rFonts w:ascii="Times New Roman" w:hAnsi="Times New Roman" w:cs="Times New Roman"/>
      <w:kern w:val="0"/>
      <w:sz w:val="18"/>
      <w:szCs w:val="18"/>
    </w:rPr>
  </w:style>
  <w:style w:type="paragraph" w:styleId="8">
    <w:name w:val="header"/>
    <w:basedOn w:val="1"/>
    <w:link w:val="27"/>
    <w:qFormat/>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table" w:styleId="12">
    <w:name w:val="Table Grid"/>
    <w:basedOn w:val="1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locked/>
    <w:uiPriority w:val="99"/>
    <w:rPr>
      <w:b/>
      <w:bCs/>
    </w:rPr>
  </w:style>
  <w:style w:type="character" w:styleId="15">
    <w:name w:val="page number"/>
    <w:basedOn w:val="13"/>
    <w:unhideWhenUsed/>
    <w:qFormat/>
    <w:uiPriority w:val="99"/>
  </w:style>
  <w:style w:type="character" w:styleId="16">
    <w:name w:val="Hyperlink"/>
    <w:qFormat/>
    <w:uiPriority w:val="99"/>
    <w:rPr>
      <w:color w:val="0000FF"/>
      <w:u w:val="single"/>
    </w:rPr>
  </w:style>
  <w:style w:type="paragraph" w:customStyle="1" w:styleId="17">
    <w:name w:val="列出段落1"/>
    <w:basedOn w:val="1"/>
    <w:qFormat/>
    <w:uiPriority w:val="99"/>
    <w:pPr>
      <w:ind w:firstLine="420" w:firstLineChars="200"/>
    </w:pPr>
  </w:style>
  <w:style w:type="paragraph" w:customStyle="1" w:styleId="18">
    <w:name w:val="_Style 23"/>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19">
    <w:name w:val="样式1"/>
    <w:basedOn w:val="1"/>
    <w:qFormat/>
    <w:uiPriority w:val="99"/>
    <w:pPr>
      <w:adjustRightInd w:val="0"/>
      <w:textAlignment w:val="baseline"/>
    </w:pPr>
    <w:rPr>
      <w:rFonts w:ascii="宋体" w:hAnsi="宋体" w:cs="宋体"/>
      <w:kern w:val="0"/>
    </w:rPr>
  </w:style>
  <w:style w:type="paragraph" w:customStyle="1" w:styleId="20">
    <w:name w:val="表格正文"/>
    <w:basedOn w:val="1"/>
    <w:qFormat/>
    <w:uiPriority w:val="99"/>
    <w:pPr>
      <w:spacing w:beforeLines="50"/>
    </w:pPr>
    <w:rPr>
      <w:rFonts w:ascii="Arial" w:hAnsi="Arial" w:cs="Arial"/>
    </w:rPr>
  </w:style>
  <w:style w:type="paragraph" w:customStyle="1" w:styleId="21">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
    <w:name w:val="标题 1 Char"/>
    <w:link w:val="3"/>
    <w:qFormat/>
    <w:locked/>
    <w:uiPriority w:val="99"/>
    <w:rPr>
      <w:rFonts w:eastAsia="仿宋_GB2312"/>
      <w:b/>
      <w:bCs/>
      <w:kern w:val="44"/>
      <w:sz w:val="44"/>
      <w:szCs w:val="44"/>
    </w:rPr>
  </w:style>
  <w:style w:type="character" w:customStyle="1" w:styleId="24">
    <w:name w:val="标题 2 Char"/>
    <w:link w:val="4"/>
    <w:qFormat/>
    <w:locked/>
    <w:uiPriority w:val="99"/>
    <w:rPr>
      <w:rFonts w:ascii="Cambria" w:hAnsi="Cambria" w:eastAsia="仿宋_GB2312" w:cs="Cambria"/>
      <w:b/>
      <w:bCs/>
      <w:sz w:val="32"/>
      <w:szCs w:val="32"/>
    </w:rPr>
  </w:style>
  <w:style w:type="character" w:customStyle="1" w:styleId="25">
    <w:name w:val="批注框文本 Char"/>
    <w:link w:val="6"/>
    <w:qFormat/>
    <w:locked/>
    <w:uiPriority w:val="99"/>
    <w:rPr>
      <w:sz w:val="18"/>
      <w:szCs w:val="18"/>
    </w:rPr>
  </w:style>
  <w:style w:type="character" w:customStyle="1" w:styleId="26">
    <w:name w:val="页脚 Char"/>
    <w:link w:val="7"/>
    <w:qFormat/>
    <w:locked/>
    <w:uiPriority w:val="99"/>
    <w:rPr>
      <w:sz w:val="18"/>
      <w:szCs w:val="18"/>
    </w:rPr>
  </w:style>
  <w:style w:type="character" w:customStyle="1" w:styleId="27">
    <w:name w:val="页眉 Char"/>
    <w:link w:val="8"/>
    <w:qFormat/>
    <w:locked/>
    <w:uiPriority w:val="99"/>
    <w:rPr>
      <w:sz w:val="18"/>
      <w:szCs w:val="18"/>
    </w:rPr>
  </w:style>
  <w:style w:type="character" w:customStyle="1" w:styleId="28">
    <w:name w:val="Plain Text Char"/>
    <w:qFormat/>
    <w:locked/>
    <w:uiPriority w:val="99"/>
    <w:rPr>
      <w:rFonts w:ascii="宋体" w:hAnsi="Courier New" w:cs="宋体"/>
      <w:sz w:val="21"/>
      <w:szCs w:val="21"/>
    </w:rPr>
  </w:style>
  <w:style w:type="character" w:customStyle="1" w:styleId="29">
    <w:name w:val="纯文本 Char"/>
    <w:link w:val="5"/>
    <w:qFormat/>
    <w:locked/>
    <w:uiPriority w:val="0"/>
    <w:rPr>
      <w:rFonts w:ascii="宋体" w:hAnsi="Courier New" w:cs="宋体"/>
      <w:sz w:val="21"/>
      <w:szCs w:val="21"/>
    </w:rPr>
  </w:style>
  <w:style w:type="character" w:customStyle="1" w:styleId="30">
    <w:name w:val="纯文本 Char1"/>
    <w:qFormat/>
    <w:uiPriority w:val="99"/>
    <w:rPr>
      <w:rFonts w:ascii="宋体" w:hAnsi="Courier New" w:cs="宋体"/>
      <w:kern w:val="2"/>
      <w:sz w:val="21"/>
      <w:szCs w:val="21"/>
    </w:rPr>
  </w:style>
  <w:style w:type="paragraph" w:styleId="31">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2">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33">
    <w:name w:val="bds_more"/>
    <w:qFormat/>
    <w:uiPriority w:val="0"/>
    <w:rPr>
      <w:rFonts w:hint="eastAsia" w:ascii="宋体" w:hAnsi="宋体" w:eastAsia="宋体" w:cs="宋体"/>
    </w:rPr>
  </w:style>
  <w:style w:type="character" w:customStyle="1" w:styleId="34">
    <w:name w:val="font11"/>
    <w:basedOn w:val="13"/>
    <w:qFormat/>
    <w:uiPriority w:val="0"/>
    <w:rPr>
      <w:rFonts w:hint="eastAsia" w:ascii="宋体" w:hAnsi="宋体" w:eastAsia="宋体" w:cs="宋体"/>
      <w:color w:val="000000"/>
      <w:sz w:val="24"/>
      <w:szCs w:val="24"/>
      <w:u w:val="none"/>
    </w:rPr>
  </w:style>
  <w:style w:type="character" w:customStyle="1" w:styleId="35">
    <w:name w:val="bds_nopic1"/>
    <w:basedOn w:val="13"/>
    <w:qFormat/>
    <w:uiPriority w:val="0"/>
  </w:style>
  <w:style w:type="character" w:customStyle="1" w:styleId="36">
    <w:name w:val="bds_nopic2"/>
    <w:basedOn w:val="13"/>
    <w:qFormat/>
    <w:uiPriority w:val="0"/>
  </w:style>
  <w:style w:type="character" w:customStyle="1" w:styleId="37">
    <w:name w:val="bds_more1"/>
    <w:basedOn w:val="13"/>
    <w:qFormat/>
    <w:uiPriority w:val="0"/>
  </w:style>
  <w:style w:type="character" w:customStyle="1" w:styleId="38">
    <w:name w:val="bds_nopic"/>
    <w:basedOn w:val="13"/>
    <w:qFormat/>
    <w:uiPriority w:val="0"/>
  </w:style>
  <w:style w:type="character" w:customStyle="1" w:styleId="39">
    <w:name w:val="bds_more2"/>
    <w:basedOn w:val="13"/>
    <w:qFormat/>
    <w:uiPriority w:val="0"/>
  </w:style>
  <w:style w:type="paragraph" w:customStyle="1" w:styleId="40">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4FFA0E-981F-4FC4-921B-10C0ED340D01}">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17</Pages>
  <Words>5115</Words>
  <Characters>5351</Characters>
  <Lines>123</Lines>
  <Paragraphs>34</Paragraphs>
  <TotalTime>63</TotalTime>
  <ScaleCrop>false</ScaleCrop>
  <LinksUpToDate>false</LinksUpToDate>
  <CharactersWithSpaces>5603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2016-03-29T00:37:00Z</dcterms:created>
  <dc:creator>User</dc:creator>
  <cp:lastModifiedBy>何国栋</cp:lastModifiedBy>
  <cp:lastPrinted>2017-03-09T04:40:00Z</cp:lastPrinted>
  <dcterms:modified xsi:type="dcterms:W3CDTF">2022-04-12T07:33:31Z</dcterms:modified>
  <dc:title>_</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A10779DEA33845CC8C81979775E20B57</vt:lpwstr>
  </property>
</Properties>
</file>