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color w:val="auto"/>
          <w:sz w:val="52"/>
          <w:szCs w:val="52"/>
          <w:highlight w:val="none"/>
        </w:rPr>
      </w:pPr>
      <w:r>
        <w:rPr>
          <w:rFonts w:ascii="仿宋" w:hAnsi="仿宋" w:eastAsia="仿宋"/>
          <w:b/>
          <w:color w:val="auto"/>
          <w:sz w:val="52"/>
          <w:szCs w:val="52"/>
          <w:highlight w:val="none"/>
        </w:rPr>
        <w:pict>
          <v:shape id="_x0000_i1025" o:spt="136" type="#_x0000_t136" style="height:68.65pt;width:486.4pt;" fillcolor="#000000" filled="t" o:preferrelative="t" coordsize="21600,21600">
            <v:path/>
            <v:fill on="t" focussize="0,0"/>
            <v:stroke miterlimit="2"/>
            <v:imagedata o:title=""/>
            <o:lock v:ext="edit" text="f"/>
            <v:textpath on="t" fitshape="t" fitpath="t" trim="t" xscale="f" string="鄂尔多斯市空港实业有限公司" style="font-family:宋体;font-size:36pt;v-text-align:center;"/>
            <v:shadow on="t" color="#868686" offset="1pt,0pt" offset2="-2pt,-4pt"/>
            <w10:wrap type="none"/>
            <w10:anchorlock/>
          </v:shape>
        </w:pict>
      </w:r>
    </w:p>
    <w:p>
      <w:pPr>
        <w:jc w:val="center"/>
        <w:rPr>
          <w:rFonts w:ascii="仿宋" w:hAnsi="仿宋" w:eastAsia="仿宋"/>
          <w:b/>
          <w:color w:val="auto"/>
          <w:sz w:val="52"/>
          <w:szCs w:val="52"/>
          <w:highlight w:val="none"/>
        </w:rPr>
      </w:pPr>
    </w:p>
    <w:p>
      <w:pPr>
        <w:jc w:val="center"/>
        <w:rPr>
          <w:rFonts w:ascii="仿宋" w:hAnsi="仿宋" w:eastAsia="仿宋"/>
          <w:b/>
          <w:color w:val="auto"/>
          <w:sz w:val="52"/>
          <w:szCs w:val="52"/>
          <w:highlight w:val="none"/>
        </w:rPr>
      </w:pPr>
    </w:p>
    <w:p>
      <w:pPr>
        <w:jc w:val="center"/>
        <w:rPr>
          <w:rFonts w:ascii="仿宋" w:hAnsi="仿宋" w:eastAsia="仿宋"/>
          <w:b/>
          <w:color w:val="auto"/>
          <w:sz w:val="52"/>
          <w:szCs w:val="52"/>
          <w:highlight w:val="none"/>
        </w:rPr>
      </w:pPr>
    </w:p>
    <w:p>
      <w:pPr>
        <w:jc w:val="center"/>
        <w:rPr>
          <w:rFonts w:ascii="仿宋" w:hAnsi="仿宋" w:eastAsia="仿宋"/>
          <w:b/>
          <w:color w:val="auto"/>
          <w:sz w:val="52"/>
          <w:szCs w:val="52"/>
          <w:highlight w:val="none"/>
        </w:rPr>
      </w:pPr>
    </w:p>
    <w:p>
      <w:pPr>
        <w:jc w:val="center"/>
        <w:rPr>
          <w:rFonts w:ascii="仿宋" w:hAnsi="仿宋" w:eastAsia="仿宋"/>
          <w:b/>
          <w:color w:val="auto"/>
          <w:sz w:val="52"/>
          <w:szCs w:val="52"/>
          <w:highlight w:val="none"/>
        </w:rPr>
      </w:pPr>
    </w:p>
    <w:p>
      <w:pPr>
        <w:jc w:val="center"/>
        <w:rPr>
          <w:rFonts w:ascii="仿宋" w:hAnsi="仿宋" w:eastAsia="仿宋"/>
          <w:b/>
          <w:color w:val="auto"/>
          <w:sz w:val="52"/>
          <w:szCs w:val="52"/>
          <w:highlight w:val="none"/>
        </w:rPr>
      </w:pPr>
    </w:p>
    <w:p>
      <w:pPr>
        <w:jc w:val="center"/>
        <w:rPr>
          <w:rFonts w:ascii="仿宋" w:hAnsi="仿宋" w:eastAsia="仿宋"/>
          <w:b/>
          <w:color w:val="auto"/>
          <w:sz w:val="52"/>
          <w:szCs w:val="52"/>
          <w:highlight w:val="none"/>
        </w:rPr>
      </w:pPr>
      <w:r>
        <w:rPr>
          <w:rFonts w:ascii="仿宋" w:hAnsi="仿宋" w:eastAsia="仿宋"/>
          <w:b/>
          <w:color w:val="auto"/>
          <w:sz w:val="52"/>
          <w:szCs w:val="52"/>
          <w:highlight w:val="none"/>
        </w:rPr>
        <w:pict>
          <v:shape id="_x0000_i1026" o:spt="136" type="#_x0000_t136" style="height:44.35pt;width:176.65pt;" fillcolor="#000000" filled="t" o:preferrelative="t" coordsize="21600,21600">
            <v:path/>
            <v:fill on="t" focussize="0,0"/>
            <v:stroke miterlimit="2"/>
            <v:imagedata o:title=""/>
            <o:lock v:ext="edit" text="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color w:val="auto"/>
          <w:sz w:val="52"/>
          <w:szCs w:val="52"/>
          <w:highlight w:val="none"/>
        </w:rPr>
      </w:pPr>
    </w:p>
    <w:p>
      <w:pPr>
        <w:jc w:val="center"/>
        <w:rPr>
          <w:rFonts w:ascii="仿宋" w:hAnsi="仿宋" w:eastAsia="仿宋"/>
          <w:b/>
          <w:color w:val="auto"/>
          <w:sz w:val="52"/>
          <w:szCs w:val="52"/>
          <w:highlight w:val="none"/>
        </w:rPr>
      </w:pPr>
    </w:p>
    <w:p>
      <w:pPr>
        <w:rPr>
          <w:rFonts w:ascii="仿宋" w:hAnsi="仿宋" w:eastAsia="仿宋"/>
          <w:b/>
          <w:color w:val="auto"/>
          <w:sz w:val="52"/>
          <w:szCs w:val="52"/>
          <w:highlight w:val="none"/>
        </w:rPr>
      </w:pPr>
    </w:p>
    <w:p>
      <w:pPr>
        <w:rPr>
          <w:rFonts w:ascii="仿宋" w:hAnsi="仿宋" w:eastAsia="仿宋"/>
          <w:b/>
          <w:color w:val="auto"/>
          <w:sz w:val="52"/>
          <w:szCs w:val="52"/>
          <w:highlight w:val="none"/>
        </w:rPr>
      </w:pPr>
    </w:p>
    <w:p>
      <w:pPr>
        <w:jc w:val="center"/>
        <w:rPr>
          <w:rFonts w:hint="default" w:ascii="仿宋" w:hAnsi="仿宋" w:eastAsia="仿宋"/>
          <w:b/>
          <w:color w:val="auto"/>
          <w:sz w:val="44"/>
          <w:szCs w:val="44"/>
          <w:highlight w:val="none"/>
          <w:lang w:val="en-US"/>
        </w:rPr>
      </w:pPr>
      <w:r>
        <w:rPr>
          <w:rFonts w:hint="eastAsia" w:ascii="仿宋" w:hAnsi="仿宋" w:eastAsia="仿宋"/>
          <w:b/>
          <w:color w:val="auto"/>
          <w:sz w:val="44"/>
          <w:szCs w:val="44"/>
          <w:highlight w:val="none"/>
        </w:rPr>
        <w:t>项目名称：</w:t>
      </w:r>
      <w:r>
        <w:rPr>
          <w:rFonts w:hint="eastAsia" w:ascii="仿宋" w:hAnsi="仿宋" w:eastAsia="仿宋"/>
          <w:b/>
          <w:color w:val="auto"/>
          <w:sz w:val="44"/>
          <w:szCs w:val="44"/>
          <w:highlight w:val="none"/>
          <w:lang w:val="en-US" w:eastAsia="zh-CN"/>
        </w:rPr>
        <w:t>骨质瓷器具采购项目（二次）</w:t>
      </w:r>
    </w:p>
    <w:p>
      <w:pPr>
        <w:jc w:val="center"/>
        <w:rPr>
          <w:rFonts w:ascii="仿宋" w:hAnsi="仿宋" w:eastAsia="仿宋"/>
          <w:b/>
          <w:color w:val="auto"/>
          <w:sz w:val="44"/>
          <w:szCs w:val="44"/>
          <w:highlight w:val="none"/>
        </w:rPr>
      </w:pPr>
      <w:r>
        <w:rPr>
          <w:rFonts w:hint="eastAsia" w:ascii="仿宋" w:hAnsi="仿宋" w:eastAsia="仿宋"/>
          <w:b/>
          <w:color w:val="auto"/>
          <w:sz w:val="44"/>
          <w:szCs w:val="44"/>
          <w:highlight w:val="none"/>
        </w:rPr>
        <w:t>项目编号：CG/SYGS-</w:t>
      </w:r>
      <w:r>
        <w:rPr>
          <w:rFonts w:hint="eastAsia" w:ascii="仿宋" w:hAnsi="仿宋" w:eastAsia="仿宋"/>
          <w:b/>
          <w:color w:val="auto"/>
          <w:sz w:val="44"/>
          <w:szCs w:val="44"/>
          <w:highlight w:val="none"/>
          <w:lang w:val="en-US" w:eastAsia="zh-CN"/>
        </w:rPr>
        <w:t>22</w:t>
      </w:r>
      <w:r>
        <w:rPr>
          <w:rFonts w:hint="eastAsia" w:ascii="仿宋" w:hAnsi="仿宋" w:eastAsia="仿宋"/>
          <w:b/>
          <w:color w:val="auto"/>
          <w:sz w:val="44"/>
          <w:szCs w:val="44"/>
          <w:highlight w:val="none"/>
        </w:rPr>
        <w:t>-00</w:t>
      </w:r>
      <w:r>
        <w:rPr>
          <w:rFonts w:hint="eastAsia" w:ascii="仿宋" w:hAnsi="仿宋" w:eastAsia="仿宋"/>
          <w:b/>
          <w:color w:val="auto"/>
          <w:sz w:val="44"/>
          <w:szCs w:val="44"/>
          <w:highlight w:val="none"/>
          <w:lang w:val="en-US" w:eastAsia="zh-CN"/>
        </w:rPr>
        <w:t>3</w:t>
      </w:r>
      <w:r>
        <w:rPr>
          <w:rFonts w:hint="eastAsia" w:ascii="仿宋" w:hAnsi="仿宋" w:eastAsia="仿宋"/>
          <w:b/>
          <w:color w:val="auto"/>
          <w:sz w:val="44"/>
          <w:szCs w:val="44"/>
          <w:highlight w:val="none"/>
        </w:rPr>
        <w:t>-N</w:t>
      </w:r>
    </w:p>
    <w:p>
      <w:pPr>
        <w:widowControl/>
        <w:jc w:val="center"/>
        <w:rPr>
          <w:rFonts w:ascii="方正小标宋简体" w:hAnsi="仿宋" w:eastAsia="方正小标宋简体"/>
          <w:color w:val="auto"/>
          <w:sz w:val="44"/>
          <w:szCs w:val="44"/>
          <w:highlight w:val="none"/>
        </w:rPr>
      </w:pPr>
    </w:p>
    <w:p>
      <w:pPr>
        <w:widowControl/>
        <w:jc w:val="center"/>
        <w:rPr>
          <w:rFonts w:ascii="方正小标宋简体" w:hAnsi="仿宋" w:eastAsia="方正小标宋简体"/>
          <w:color w:val="auto"/>
          <w:sz w:val="44"/>
          <w:szCs w:val="44"/>
          <w:highlight w:val="none"/>
        </w:rPr>
      </w:pPr>
      <w:r>
        <w:rPr>
          <w:rFonts w:hint="eastAsia" w:ascii="方正小标宋简体" w:hAnsi="仿宋" w:eastAsia="方正小标宋简体"/>
          <w:color w:val="auto"/>
          <w:sz w:val="44"/>
          <w:szCs w:val="44"/>
          <w:highlight w:val="none"/>
        </w:rPr>
        <w:t>目录</w:t>
      </w:r>
    </w:p>
    <w:p>
      <w:pPr>
        <w:pStyle w:val="9"/>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 w:eastAsia="仿宋_GB2312"/>
          <w:snapToGrid w:val="0"/>
          <w:color w:val="auto"/>
          <w:w w:val="80"/>
          <w:kern w:val="0"/>
          <w:sz w:val="32"/>
          <w:szCs w:val="32"/>
          <w:highlight w:val="none"/>
        </w:rPr>
        <w:fldChar w:fldCharType="begin"/>
      </w:r>
      <w:r>
        <w:rPr>
          <w:rFonts w:hint="eastAsia" w:ascii="仿宋_GB2312" w:hAnsi="仿宋" w:eastAsia="仿宋_GB2312"/>
          <w:snapToGrid w:val="0"/>
          <w:color w:val="auto"/>
          <w:w w:val="80"/>
          <w:kern w:val="0"/>
          <w:sz w:val="32"/>
          <w:szCs w:val="32"/>
          <w:highlight w:val="none"/>
        </w:rPr>
        <w:instrText xml:space="preserve"> TOC \o "1-3" \h \z \u </w:instrText>
      </w:r>
      <w:r>
        <w:rPr>
          <w:rFonts w:hint="eastAsia" w:ascii="仿宋_GB2312" w:hAnsi="仿宋" w:eastAsia="仿宋_GB2312"/>
          <w:snapToGrid w:val="0"/>
          <w:color w:val="auto"/>
          <w:w w:val="80"/>
          <w:kern w:val="0"/>
          <w:sz w:val="32"/>
          <w:szCs w:val="32"/>
          <w:highlight w:val="none"/>
        </w:rPr>
        <w:fldChar w:fldCharType="separate"/>
      </w: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_Toc10078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第一章 竞争性磋商公告</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_Toc10078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10"/>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_Toc15175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一、项目概况</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_Toc15175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10"/>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_Toc12399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二、供应商的资格要求</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_Toc12399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10"/>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_Toc18083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三、获取采购文件的时间、地点、方式</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_Toc18083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10"/>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_Toc25502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四、递交响应文件截止（评标）时间、地点</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_Toc25502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10"/>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_Toc5853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五、联系方式</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_Toc5853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9"/>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_Toc9153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第二章  采购内容与技术要求</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_Toc9153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10"/>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_Toc31137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一、项目说明</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_Toc31137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10"/>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_Toc28941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bCs/>
          <w:color w:val="auto"/>
          <w:kern w:val="0"/>
          <w:sz w:val="32"/>
          <w:szCs w:val="32"/>
          <w:highlight w:val="none"/>
          <w:lang w:val="en-US" w:eastAsia="zh-CN" w:bidi="ar-SA"/>
        </w:rPr>
        <w:t>二、详细参数</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_Toc28941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5</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9"/>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_Toc5011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第三章 投标人须知</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_Toc5011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6</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10"/>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_Toc30158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一、供应商资格要求</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_Toc30158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6</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10"/>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_Toc1316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二、响应文件的构成</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_Toc1316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6</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10"/>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_Toc15041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三、评标与中标</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_Toc15041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7</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9"/>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_Toc7677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第四章 响应文件格式与要求</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_Toc7677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11</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10"/>
        <w:tabs>
          <w:tab w:val="right" w:leader="dot" w:pos="9752"/>
        </w:tabs>
        <w:rPr>
          <w:color w:val="auto"/>
          <w:highlight w:val="none"/>
        </w:rPr>
      </w:pPr>
    </w:p>
    <w:p>
      <w:pPr>
        <w:widowControl/>
        <w:spacing w:line="400" w:lineRule="exact"/>
        <w:rPr>
          <w:rFonts w:hint="eastAsia" w:ascii="仿宋_GB2312" w:hAnsi="仿宋" w:eastAsia="仿宋_GB2312"/>
          <w:snapToGrid w:val="0"/>
          <w:color w:val="auto"/>
          <w:w w:val="80"/>
          <w:kern w:val="0"/>
          <w:szCs w:val="32"/>
          <w:highlight w:val="none"/>
        </w:rPr>
      </w:pPr>
      <w:r>
        <w:rPr>
          <w:rFonts w:hint="eastAsia" w:ascii="仿宋_GB2312" w:hAnsi="仿宋" w:eastAsia="仿宋_GB2312"/>
          <w:snapToGrid w:val="0"/>
          <w:color w:val="auto"/>
          <w:w w:val="80"/>
          <w:kern w:val="0"/>
          <w:szCs w:val="32"/>
          <w:highlight w:val="none"/>
        </w:rPr>
        <w:fldChar w:fldCharType="end"/>
      </w:r>
    </w:p>
    <w:p>
      <w:pPr>
        <w:pStyle w:val="2"/>
        <w:rPr>
          <w:rFonts w:hint="eastAsia" w:ascii="仿宋_GB2312" w:hAnsi="仿宋" w:eastAsia="仿宋_GB2312"/>
          <w:snapToGrid w:val="0"/>
          <w:color w:val="auto"/>
          <w:w w:val="80"/>
          <w:kern w:val="0"/>
          <w:szCs w:val="32"/>
          <w:highlight w:val="none"/>
        </w:rPr>
      </w:pPr>
    </w:p>
    <w:p>
      <w:pPr>
        <w:pStyle w:val="2"/>
        <w:rPr>
          <w:rFonts w:hint="eastAsia" w:ascii="仿宋_GB2312" w:hAnsi="仿宋" w:eastAsia="仿宋_GB2312"/>
          <w:snapToGrid w:val="0"/>
          <w:color w:val="auto"/>
          <w:w w:val="80"/>
          <w:kern w:val="0"/>
          <w:szCs w:val="32"/>
          <w:highlight w:val="none"/>
        </w:rPr>
      </w:pPr>
    </w:p>
    <w:p>
      <w:pPr>
        <w:pStyle w:val="2"/>
        <w:rPr>
          <w:rFonts w:hint="eastAsia" w:ascii="仿宋_GB2312" w:hAnsi="仿宋" w:eastAsia="仿宋_GB2312"/>
          <w:snapToGrid w:val="0"/>
          <w:color w:val="auto"/>
          <w:w w:val="80"/>
          <w:kern w:val="0"/>
          <w:szCs w:val="32"/>
          <w:highlight w:val="none"/>
        </w:rPr>
      </w:pPr>
    </w:p>
    <w:p>
      <w:pPr>
        <w:pStyle w:val="2"/>
        <w:rPr>
          <w:rFonts w:hint="eastAsia" w:ascii="仿宋_GB2312" w:hAnsi="仿宋" w:eastAsia="仿宋_GB2312"/>
          <w:snapToGrid w:val="0"/>
          <w:color w:val="auto"/>
          <w:w w:val="80"/>
          <w:kern w:val="0"/>
          <w:szCs w:val="32"/>
          <w:highlight w:val="none"/>
        </w:rPr>
      </w:pPr>
    </w:p>
    <w:p>
      <w:pPr>
        <w:pStyle w:val="2"/>
        <w:rPr>
          <w:rFonts w:hint="eastAsia" w:ascii="仿宋_GB2312" w:hAnsi="仿宋" w:eastAsia="仿宋_GB2312"/>
          <w:snapToGrid w:val="0"/>
          <w:color w:val="auto"/>
          <w:w w:val="80"/>
          <w:kern w:val="0"/>
          <w:szCs w:val="32"/>
          <w:highlight w:val="none"/>
        </w:rPr>
      </w:pPr>
    </w:p>
    <w:p>
      <w:pPr>
        <w:pStyle w:val="2"/>
        <w:rPr>
          <w:rFonts w:hint="eastAsia" w:ascii="仿宋_GB2312" w:hAnsi="仿宋" w:eastAsia="仿宋_GB2312"/>
          <w:snapToGrid w:val="0"/>
          <w:color w:val="auto"/>
          <w:w w:val="80"/>
          <w:kern w:val="0"/>
          <w:szCs w:val="32"/>
          <w:highlight w:val="none"/>
        </w:rPr>
      </w:pPr>
    </w:p>
    <w:p>
      <w:pPr>
        <w:rPr>
          <w:rFonts w:hint="eastAsia"/>
          <w:color w:val="auto"/>
          <w:highlight w:val="none"/>
        </w:rPr>
      </w:pPr>
    </w:p>
    <w:p>
      <w:pPr>
        <w:rPr>
          <w:rFonts w:hint="eastAsia"/>
          <w:color w:val="auto"/>
          <w:highlight w:val="none"/>
        </w:rPr>
      </w:pPr>
    </w:p>
    <w:p>
      <w:pPr>
        <w:rPr>
          <w:color w:val="auto"/>
          <w:highlight w:val="none"/>
        </w:rPr>
      </w:pPr>
    </w:p>
    <w:p>
      <w:pPr>
        <w:pStyle w:val="3"/>
        <w:spacing w:line="360" w:lineRule="auto"/>
        <w:rPr>
          <w:rFonts w:ascii="仿宋" w:hAnsi="仿宋" w:eastAsia="仿宋"/>
          <w:color w:val="auto"/>
          <w:highlight w:val="none"/>
        </w:rPr>
      </w:pPr>
      <w:bookmarkStart w:id="0" w:name="_Toc10078"/>
      <w:r>
        <w:rPr>
          <w:rFonts w:hint="eastAsia" w:ascii="仿宋" w:hAnsi="仿宋" w:eastAsia="仿宋"/>
          <w:color w:val="auto"/>
          <w:highlight w:val="none"/>
        </w:rPr>
        <w:t>第一章 竞争性磋商公告</w:t>
      </w:r>
      <w:bookmarkEnd w:id="0"/>
    </w:p>
    <w:p>
      <w:pPr>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鄂尔多斯市空港实业有限公司拟采用竞争性磋商的方式进行</w:t>
      </w:r>
      <w:r>
        <w:rPr>
          <w:rFonts w:hint="eastAsia" w:ascii="仿宋" w:hAnsi="仿宋" w:eastAsia="仿宋"/>
          <w:color w:val="auto"/>
          <w:kern w:val="2"/>
          <w:sz w:val="28"/>
          <w:szCs w:val="28"/>
          <w:highlight w:val="none"/>
          <w:lang w:val="en-US" w:eastAsia="zh-CN"/>
        </w:rPr>
        <w:t>骨质瓷器具</w:t>
      </w:r>
      <w:r>
        <w:rPr>
          <w:rFonts w:hint="eastAsia" w:ascii="仿宋" w:hAnsi="仿宋" w:eastAsia="仿宋"/>
          <w:color w:val="auto"/>
          <w:kern w:val="2"/>
          <w:sz w:val="28"/>
          <w:szCs w:val="28"/>
          <w:highlight w:val="none"/>
        </w:rPr>
        <w:t>项目</w:t>
      </w:r>
      <w:r>
        <w:rPr>
          <w:rFonts w:hint="eastAsia" w:ascii="仿宋" w:hAnsi="仿宋" w:eastAsia="仿宋"/>
          <w:color w:val="auto"/>
          <w:sz w:val="28"/>
          <w:szCs w:val="28"/>
          <w:highlight w:val="none"/>
        </w:rPr>
        <w:t>采购，现邀请符合条件的供应商前来参与此次采购活动。</w:t>
      </w:r>
    </w:p>
    <w:p>
      <w:pPr>
        <w:pStyle w:val="4"/>
        <w:spacing w:line="360" w:lineRule="auto"/>
        <w:ind w:firstLine="562" w:firstLineChars="200"/>
        <w:rPr>
          <w:rFonts w:ascii="仿宋" w:hAnsi="仿宋" w:eastAsia="仿宋"/>
          <w:color w:val="auto"/>
          <w:sz w:val="28"/>
          <w:szCs w:val="28"/>
          <w:highlight w:val="none"/>
        </w:rPr>
      </w:pPr>
      <w:bookmarkStart w:id="1" w:name="_Toc15175"/>
      <w:r>
        <w:rPr>
          <w:rFonts w:hint="eastAsia" w:ascii="仿宋" w:hAnsi="仿宋" w:eastAsia="仿宋"/>
          <w:color w:val="auto"/>
          <w:sz w:val="28"/>
          <w:szCs w:val="28"/>
          <w:highlight w:val="none"/>
        </w:rPr>
        <w:t>一、项目概况</w:t>
      </w:r>
      <w:bookmarkEnd w:id="1"/>
    </w:p>
    <w:p>
      <w:pPr>
        <w:pStyle w:val="5"/>
        <w:spacing w:line="360" w:lineRule="auto"/>
        <w:ind w:firstLine="560" w:firstLineChars="200"/>
        <w:rPr>
          <w:rFonts w:hint="eastAsia" w:ascii="仿宋" w:hAnsi="仿宋" w:eastAsia="仿宋"/>
          <w:color w:val="auto"/>
          <w:kern w:val="2"/>
          <w:sz w:val="28"/>
          <w:szCs w:val="28"/>
          <w:highlight w:val="none"/>
          <w:lang w:eastAsia="zh-CN"/>
        </w:rPr>
      </w:pPr>
      <w:r>
        <w:rPr>
          <w:rFonts w:hint="eastAsia" w:ascii="仿宋" w:hAnsi="仿宋" w:eastAsia="仿宋"/>
          <w:color w:val="auto"/>
          <w:kern w:val="2"/>
          <w:sz w:val="28"/>
          <w:szCs w:val="28"/>
          <w:highlight w:val="none"/>
        </w:rPr>
        <w:t>（一）项目名称：</w:t>
      </w:r>
      <w:r>
        <w:rPr>
          <w:rFonts w:hint="eastAsia" w:ascii="仿宋" w:hAnsi="仿宋" w:eastAsia="仿宋"/>
          <w:color w:val="auto"/>
          <w:kern w:val="2"/>
          <w:sz w:val="28"/>
          <w:szCs w:val="28"/>
          <w:highlight w:val="none"/>
          <w:lang w:val="en-US" w:eastAsia="zh-CN"/>
        </w:rPr>
        <w:t>骨质瓷器具采购</w:t>
      </w:r>
      <w:r>
        <w:rPr>
          <w:rFonts w:hint="eastAsia" w:ascii="仿宋" w:hAnsi="仿宋" w:eastAsia="仿宋"/>
          <w:color w:val="auto"/>
          <w:kern w:val="2"/>
          <w:sz w:val="28"/>
          <w:szCs w:val="28"/>
          <w:highlight w:val="none"/>
        </w:rPr>
        <w:t>项目</w:t>
      </w:r>
      <w:r>
        <w:rPr>
          <w:rFonts w:hint="eastAsia" w:ascii="仿宋" w:hAnsi="仿宋" w:eastAsia="仿宋"/>
          <w:color w:val="auto"/>
          <w:kern w:val="2"/>
          <w:sz w:val="28"/>
          <w:szCs w:val="28"/>
          <w:highlight w:val="none"/>
          <w:lang w:eastAsia="zh-CN"/>
        </w:rPr>
        <w:t>（</w:t>
      </w:r>
      <w:r>
        <w:rPr>
          <w:rFonts w:hint="eastAsia" w:ascii="仿宋" w:hAnsi="仿宋" w:eastAsia="仿宋"/>
          <w:color w:val="auto"/>
          <w:kern w:val="2"/>
          <w:sz w:val="28"/>
          <w:szCs w:val="28"/>
          <w:highlight w:val="none"/>
          <w:lang w:val="en-US" w:eastAsia="zh-CN"/>
        </w:rPr>
        <w:t>二次</w:t>
      </w:r>
      <w:r>
        <w:rPr>
          <w:rFonts w:hint="eastAsia" w:ascii="仿宋" w:hAnsi="仿宋" w:eastAsia="仿宋"/>
          <w:color w:val="auto"/>
          <w:kern w:val="2"/>
          <w:sz w:val="28"/>
          <w:szCs w:val="28"/>
          <w:highlight w:val="none"/>
          <w:lang w:eastAsia="zh-CN"/>
        </w:rPr>
        <w:t>）</w:t>
      </w:r>
    </w:p>
    <w:p>
      <w:pPr>
        <w:pStyle w:val="5"/>
        <w:spacing w:line="360" w:lineRule="auto"/>
        <w:ind w:firstLine="560" w:firstLineChars="200"/>
        <w:rPr>
          <w:rFonts w:ascii="仿宋" w:hAnsi="仿宋" w:eastAsia="仿宋"/>
          <w:color w:val="auto"/>
          <w:kern w:val="2"/>
          <w:sz w:val="28"/>
          <w:szCs w:val="28"/>
          <w:highlight w:val="none"/>
        </w:rPr>
      </w:pPr>
      <w:r>
        <w:rPr>
          <w:rFonts w:hint="eastAsia" w:ascii="仿宋" w:hAnsi="仿宋" w:eastAsia="仿宋"/>
          <w:color w:val="auto"/>
          <w:kern w:val="2"/>
          <w:sz w:val="28"/>
          <w:szCs w:val="28"/>
          <w:highlight w:val="none"/>
        </w:rPr>
        <w:t>（二）项目编号：CG/SYGS-</w:t>
      </w:r>
      <w:r>
        <w:rPr>
          <w:rFonts w:hint="eastAsia" w:ascii="仿宋" w:hAnsi="仿宋" w:eastAsia="仿宋"/>
          <w:color w:val="auto"/>
          <w:kern w:val="2"/>
          <w:sz w:val="28"/>
          <w:szCs w:val="28"/>
          <w:highlight w:val="none"/>
          <w:lang w:val="en-US" w:eastAsia="zh-CN"/>
        </w:rPr>
        <w:t>22</w:t>
      </w:r>
      <w:r>
        <w:rPr>
          <w:rFonts w:hint="eastAsia" w:ascii="仿宋" w:hAnsi="仿宋" w:eastAsia="仿宋"/>
          <w:color w:val="auto"/>
          <w:kern w:val="2"/>
          <w:sz w:val="28"/>
          <w:szCs w:val="28"/>
          <w:highlight w:val="none"/>
        </w:rPr>
        <w:t>-00</w:t>
      </w:r>
      <w:r>
        <w:rPr>
          <w:rFonts w:hint="eastAsia" w:ascii="仿宋" w:hAnsi="仿宋" w:eastAsia="仿宋"/>
          <w:color w:val="auto"/>
          <w:kern w:val="2"/>
          <w:sz w:val="28"/>
          <w:szCs w:val="28"/>
          <w:highlight w:val="none"/>
          <w:lang w:val="en-US" w:eastAsia="zh-CN"/>
        </w:rPr>
        <w:t>3</w:t>
      </w:r>
      <w:r>
        <w:rPr>
          <w:rFonts w:hint="eastAsia" w:ascii="仿宋" w:hAnsi="仿宋" w:eastAsia="仿宋"/>
          <w:color w:val="auto"/>
          <w:kern w:val="2"/>
          <w:sz w:val="28"/>
          <w:szCs w:val="28"/>
          <w:highlight w:val="none"/>
        </w:rPr>
        <w:t>-N</w:t>
      </w:r>
    </w:p>
    <w:p>
      <w:pPr>
        <w:pStyle w:val="5"/>
        <w:spacing w:line="360" w:lineRule="auto"/>
        <w:ind w:firstLine="560" w:firstLineChars="200"/>
        <w:rPr>
          <w:rFonts w:hint="eastAsia" w:ascii="仿宋" w:hAnsi="仿宋" w:eastAsia="仿宋"/>
          <w:color w:val="auto"/>
          <w:kern w:val="2"/>
          <w:sz w:val="28"/>
          <w:szCs w:val="28"/>
          <w:highlight w:val="none"/>
        </w:rPr>
      </w:pPr>
      <w:r>
        <w:rPr>
          <w:rFonts w:hint="eastAsia" w:ascii="仿宋" w:hAnsi="仿宋" w:eastAsia="仿宋"/>
          <w:color w:val="auto"/>
          <w:kern w:val="2"/>
          <w:sz w:val="28"/>
          <w:szCs w:val="28"/>
          <w:highlight w:val="none"/>
        </w:rPr>
        <w:t>（三）采购人：鄂尔多斯市空港实业有限公司</w:t>
      </w:r>
    </w:p>
    <w:p>
      <w:pPr>
        <w:pStyle w:val="5"/>
        <w:spacing w:line="360" w:lineRule="auto"/>
        <w:ind w:firstLine="560" w:firstLineChars="200"/>
        <w:rPr>
          <w:rFonts w:ascii="仿宋" w:hAnsi="仿宋" w:eastAsia="仿宋"/>
          <w:color w:val="auto"/>
          <w:kern w:val="2"/>
          <w:sz w:val="28"/>
          <w:szCs w:val="28"/>
          <w:highlight w:val="none"/>
        </w:rPr>
      </w:pPr>
      <w:r>
        <w:rPr>
          <w:rFonts w:hint="eastAsia" w:ascii="仿宋" w:hAnsi="仿宋" w:eastAsia="仿宋"/>
          <w:color w:val="auto"/>
          <w:kern w:val="2"/>
          <w:sz w:val="28"/>
          <w:szCs w:val="28"/>
          <w:highlight w:val="none"/>
        </w:rPr>
        <w:t>（四）资金来源：鄂尔多斯市空港实业有限公司</w:t>
      </w:r>
    </w:p>
    <w:p>
      <w:pPr>
        <w:pStyle w:val="5"/>
        <w:spacing w:line="360" w:lineRule="auto"/>
        <w:ind w:firstLine="560" w:firstLineChars="200"/>
        <w:rPr>
          <w:rFonts w:ascii="仿宋" w:hAnsi="仿宋" w:eastAsia="仿宋"/>
          <w:color w:val="auto"/>
          <w:kern w:val="2"/>
          <w:sz w:val="28"/>
          <w:szCs w:val="28"/>
          <w:highlight w:val="none"/>
        </w:rPr>
      </w:pPr>
      <w:r>
        <w:rPr>
          <w:rFonts w:hint="eastAsia" w:ascii="仿宋" w:hAnsi="仿宋" w:eastAsia="仿宋"/>
          <w:color w:val="auto"/>
          <w:kern w:val="2"/>
          <w:sz w:val="28"/>
          <w:szCs w:val="28"/>
          <w:highlight w:val="none"/>
        </w:rPr>
        <w:t>（五）采购内容：</w:t>
      </w:r>
      <w:r>
        <w:rPr>
          <w:rFonts w:ascii="仿宋" w:hAnsi="仿宋" w:eastAsia="仿宋"/>
          <w:color w:val="auto"/>
          <w:kern w:val="2"/>
          <w:sz w:val="28"/>
          <w:szCs w:val="28"/>
          <w:highlight w:val="none"/>
        </w:rPr>
        <w:t xml:space="preserve"> </w:t>
      </w:r>
    </w:p>
    <w:p>
      <w:pPr>
        <w:pStyle w:val="5"/>
        <w:spacing w:line="360" w:lineRule="auto"/>
        <w:ind w:firstLine="560" w:firstLineChars="200"/>
        <w:rPr>
          <w:rFonts w:ascii="仿宋" w:hAnsi="仿宋" w:eastAsia="仿宋"/>
          <w:color w:val="auto"/>
          <w:sz w:val="28"/>
          <w:szCs w:val="28"/>
          <w:highlight w:val="none"/>
        </w:rPr>
      </w:pPr>
      <w:r>
        <w:rPr>
          <w:rFonts w:hint="eastAsia" w:ascii="仿宋" w:hAnsi="仿宋" w:eastAsia="仿宋"/>
          <w:color w:val="auto"/>
          <w:kern w:val="2"/>
          <w:sz w:val="28"/>
          <w:szCs w:val="28"/>
          <w:highlight w:val="none"/>
          <w:lang w:val="en-US" w:eastAsia="zh-CN"/>
        </w:rPr>
        <w:t>1.</w:t>
      </w:r>
      <w:r>
        <w:rPr>
          <w:rFonts w:hint="eastAsia" w:ascii="仿宋" w:hAnsi="仿宋" w:eastAsia="仿宋"/>
          <w:color w:val="auto"/>
          <w:sz w:val="28"/>
          <w:szCs w:val="28"/>
          <w:highlight w:val="none"/>
        </w:rPr>
        <w:t>技术规格、参数及要求：</w:t>
      </w:r>
      <w:r>
        <w:rPr>
          <w:rFonts w:hint="eastAsia" w:ascii="仿宋" w:hAnsi="仿宋" w:eastAsia="仿宋"/>
          <w:color w:val="auto"/>
          <w:sz w:val="28"/>
          <w:szCs w:val="28"/>
          <w:highlight w:val="none"/>
          <w:lang w:val="en-US" w:eastAsia="zh-CN"/>
        </w:rPr>
        <w:t>按招标文件要求，提供骨质瓷器具，</w:t>
      </w:r>
      <w:r>
        <w:rPr>
          <w:rFonts w:hint="eastAsia" w:ascii="仿宋" w:hAnsi="仿宋" w:eastAsia="仿宋"/>
          <w:color w:val="auto"/>
          <w:sz w:val="28"/>
          <w:szCs w:val="28"/>
          <w:highlight w:val="none"/>
        </w:rPr>
        <w:t>详见招标文件</w:t>
      </w:r>
    </w:p>
    <w:p>
      <w:pPr>
        <w:pStyle w:val="5"/>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2.</w:t>
      </w:r>
      <w:r>
        <w:rPr>
          <w:rFonts w:hint="eastAsia" w:ascii="仿宋" w:hAnsi="仿宋" w:eastAsia="仿宋"/>
          <w:color w:val="auto"/>
          <w:sz w:val="28"/>
          <w:szCs w:val="28"/>
          <w:highlight w:val="none"/>
        </w:rPr>
        <w:t>预算金额：</w:t>
      </w:r>
    </w:p>
    <w:p>
      <w:pPr>
        <w:pStyle w:val="4"/>
        <w:spacing w:line="360" w:lineRule="auto"/>
        <w:ind w:firstLine="560" w:firstLineChars="200"/>
        <w:rPr>
          <w:rFonts w:hint="eastAsia" w:ascii="仿宋" w:hAnsi="仿宋" w:eastAsia="仿宋" w:cs="宋体"/>
          <w:b w:val="0"/>
          <w:bCs w:val="0"/>
          <w:color w:val="auto"/>
          <w:kern w:val="0"/>
          <w:sz w:val="28"/>
          <w:szCs w:val="28"/>
          <w:highlight w:val="none"/>
          <w:lang w:val="en-US" w:eastAsia="zh-CN" w:bidi="ar-SA"/>
        </w:rPr>
      </w:pPr>
      <w:bookmarkStart w:id="2" w:name="_Toc23998"/>
      <w:bookmarkStart w:id="3" w:name="_Toc24076"/>
      <w:r>
        <w:rPr>
          <w:rFonts w:hint="eastAsia" w:ascii="仿宋" w:hAnsi="仿宋" w:eastAsia="仿宋" w:cs="宋体"/>
          <w:b w:val="0"/>
          <w:bCs w:val="0"/>
          <w:color w:val="auto"/>
          <w:kern w:val="0"/>
          <w:sz w:val="28"/>
          <w:szCs w:val="28"/>
          <w:highlight w:val="none"/>
          <w:lang w:val="en-US" w:eastAsia="zh-CN" w:bidi="ar-SA"/>
        </w:rPr>
        <w:t>100000元</w:t>
      </w:r>
      <w:bookmarkEnd w:id="2"/>
      <w:bookmarkEnd w:id="3"/>
    </w:p>
    <w:p>
      <w:pPr>
        <w:pStyle w:val="4"/>
        <w:spacing w:line="360" w:lineRule="auto"/>
        <w:ind w:firstLine="562" w:firstLineChars="200"/>
        <w:rPr>
          <w:rFonts w:ascii="仿宋" w:hAnsi="仿宋" w:eastAsia="仿宋"/>
          <w:color w:val="auto"/>
          <w:sz w:val="28"/>
          <w:szCs w:val="28"/>
          <w:highlight w:val="none"/>
        </w:rPr>
      </w:pPr>
      <w:bookmarkStart w:id="4" w:name="_Toc12399"/>
      <w:r>
        <w:rPr>
          <w:rFonts w:hint="eastAsia" w:ascii="仿宋" w:hAnsi="仿宋" w:eastAsia="仿宋"/>
          <w:color w:val="auto"/>
          <w:sz w:val="28"/>
          <w:szCs w:val="28"/>
          <w:highlight w:val="none"/>
        </w:rPr>
        <w:t>二、供应商的资格要求</w:t>
      </w:r>
      <w:bookmarkEnd w:id="4"/>
    </w:p>
    <w:p>
      <w:pPr>
        <w:spacing w:line="360" w:lineRule="auto"/>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（一）供应商应符合《中华人民共和国政府采购法》第二十二条规定的条件；</w:t>
      </w:r>
    </w:p>
    <w:p>
      <w:pPr>
        <w:spacing w:line="360" w:lineRule="auto"/>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（二）具有</w:t>
      </w:r>
      <w:r>
        <w:rPr>
          <w:rFonts w:hint="eastAsia" w:ascii="仿宋" w:hAnsi="仿宋" w:eastAsia="仿宋"/>
          <w:color w:val="auto"/>
          <w:sz w:val="28"/>
          <w:szCs w:val="28"/>
          <w:highlight w:val="none"/>
          <w:lang w:val="en-US" w:eastAsia="zh-CN"/>
        </w:rPr>
        <w:t>瓷器制作及销售相关营业范围。</w:t>
      </w:r>
    </w:p>
    <w:p>
      <w:pPr>
        <w:pStyle w:val="4"/>
        <w:spacing w:line="360" w:lineRule="auto"/>
        <w:ind w:firstLine="562" w:firstLineChars="200"/>
        <w:rPr>
          <w:rFonts w:ascii="仿宋" w:hAnsi="仿宋" w:eastAsia="仿宋"/>
          <w:color w:val="auto"/>
          <w:sz w:val="28"/>
          <w:szCs w:val="28"/>
          <w:highlight w:val="none"/>
        </w:rPr>
      </w:pPr>
      <w:bookmarkStart w:id="5" w:name="_Toc18083"/>
      <w:r>
        <w:rPr>
          <w:rFonts w:hint="eastAsia" w:ascii="仿宋" w:hAnsi="仿宋" w:eastAsia="仿宋"/>
          <w:color w:val="auto"/>
          <w:sz w:val="28"/>
          <w:szCs w:val="28"/>
          <w:highlight w:val="none"/>
        </w:rPr>
        <w:t>三、获取采购文件的时间、地点、方式</w:t>
      </w:r>
      <w:bookmarkEnd w:id="5"/>
    </w:p>
    <w:p>
      <w:pPr>
        <w:spacing w:line="360" w:lineRule="auto"/>
        <w:ind w:firstLine="560" w:firstLineChars="200"/>
        <w:textAlignment w:val="baseline"/>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符合上述条件的供应商可于20</w:t>
      </w:r>
      <w:r>
        <w:rPr>
          <w:rFonts w:hint="eastAsia" w:ascii="仿宋" w:hAnsi="仿宋" w:eastAsia="仿宋"/>
          <w:color w:val="auto"/>
          <w:sz w:val="28"/>
          <w:szCs w:val="28"/>
          <w:highlight w:val="none"/>
          <w:lang w:val="en-US" w:eastAsia="zh-CN"/>
        </w:rPr>
        <w:t>22</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lang w:val="en-US" w:eastAsia="zh-CN"/>
        </w:rPr>
        <w:t>4</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lang w:val="en-US" w:eastAsia="zh-CN"/>
        </w:rPr>
        <w:t>19</w:t>
      </w:r>
      <w:r>
        <w:rPr>
          <w:rFonts w:hint="eastAsia" w:ascii="仿宋" w:hAnsi="仿宋" w:eastAsia="仿宋"/>
          <w:color w:val="auto"/>
          <w:sz w:val="28"/>
          <w:szCs w:val="28"/>
          <w:highlight w:val="none"/>
        </w:rPr>
        <w:t>日起登录鄂尔多斯机场管理集团有限公司网站页面（网址：</w:t>
      </w:r>
      <w:r>
        <w:rPr>
          <w:rFonts w:ascii="仿宋" w:hAnsi="仿宋" w:eastAsia="仿宋"/>
          <w:color w:val="auto"/>
          <w:sz w:val="28"/>
          <w:szCs w:val="28"/>
          <w:highlight w:val="none"/>
        </w:rPr>
        <w:t>http://ordosairport.com/</w:t>
      </w:r>
      <w:r>
        <w:rPr>
          <w:rFonts w:hint="eastAsia" w:ascii="仿宋" w:hAnsi="仿宋" w:eastAsia="仿宋"/>
          <w:color w:val="auto"/>
          <w:sz w:val="28"/>
          <w:szCs w:val="28"/>
          <w:highlight w:val="none"/>
        </w:rPr>
        <w:t>），点击“公告”栏中的“招标信息”栏，查询采购信息，点击信息公告页面左下角“附件”即可浏览、下载采购文件。</w:t>
      </w:r>
    </w:p>
    <w:p>
      <w:pPr>
        <w:pStyle w:val="4"/>
        <w:spacing w:line="360" w:lineRule="auto"/>
        <w:ind w:firstLine="562" w:firstLineChars="200"/>
        <w:rPr>
          <w:rFonts w:ascii="仿宋" w:hAnsi="仿宋" w:eastAsia="仿宋"/>
          <w:color w:val="auto"/>
          <w:sz w:val="28"/>
          <w:szCs w:val="28"/>
          <w:highlight w:val="none"/>
        </w:rPr>
      </w:pPr>
      <w:bookmarkStart w:id="6" w:name="_Toc25502"/>
      <w:r>
        <w:rPr>
          <w:rFonts w:hint="eastAsia" w:ascii="仿宋" w:hAnsi="仿宋" w:eastAsia="仿宋"/>
          <w:color w:val="auto"/>
          <w:sz w:val="28"/>
          <w:szCs w:val="28"/>
          <w:highlight w:val="none"/>
        </w:rPr>
        <w:t>四、递交响应文件截止（评标）时间、地点</w:t>
      </w:r>
      <w:bookmarkEnd w:id="6"/>
    </w:p>
    <w:p>
      <w:pPr>
        <w:pStyle w:val="4"/>
        <w:spacing w:line="360" w:lineRule="auto"/>
        <w:ind w:firstLine="560" w:firstLineChars="200"/>
        <w:rPr>
          <w:rFonts w:hint="eastAsia" w:ascii="仿宋" w:hAnsi="仿宋" w:eastAsia="仿宋" w:cs="Calibri"/>
          <w:b w:val="0"/>
          <w:bCs w:val="0"/>
          <w:color w:val="auto"/>
          <w:kern w:val="2"/>
          <w:sz w:val="28"/>
          <w:szCs w:val="28"/>
          <w:highlight w:val="none"/>
          <w:lang w:val="en-US" w:eastAsia="zh-CN" w:bidi="ar-SA"/>
        </w:rPr>
      </w:pPr>
      <w:bookmarkStart w:id="7" w:name="_Toc5853"/>
      <w:r>
        <w:rPr>
          <w:rFonts w:hint="eastAsia" w:ascii="仿宋" w:hAnsi="仿宋" w:eastAsia="仿宋" w:cs="Calibri"/>
          <w:b w:val="0"/>
          <w:bCs w:val="0"/>
          <w:color w:val="auto"/>
          <w:kern w:val="2"/>
          <w:sz w:val="28"/>
          <w:szCs w:val="28"/>
          <w:highlight w:val="none"/>
          <w:lang w:val="en-US" w:eastAsia="zh-CN" w:bidi="ar-SA"/>
        </w:rPr>
        <w:t>1.点击信息公告页面正下方蓝色栏“我要报名”，填写准确的企业信息，报名截止时间：2022年4月26日下午17:00</w:t>
      </w:r>
    </w:p>
    <w:p>
      <w:pPr>
        <w:pStyle w:val="4"/>
        <w:spacing w:line="360" w:lineRule="auto"/>
        <w:ind w:firstLine="560" w:firstLineChars="200"/>
        <w:rPr>
          <w:rFonts w:hint="eastAsia" w:ascii="仿宋" w:hAnsi="仿宋" w:eastAsia="仿宋" w:cs="Calibri"/>
          <w:b w:val="0"/>
          <w:bCs w:val="0"/>
          <w:color w:val="auto"/>
          <w:kern w:val="2"/>
          <w:sz w:val="28"/>
          <w:szCs w:val="28"/>
          <w:highlight w:val="none"/>
          <w:lang w:val="en-US" w:eastAsia="zh-CN" w:bidi="ar-SA"/>
        </w:rPr>
      </w:pPr>
      <w:r>
        <w:rPr>
          <w:rFonts w:hint="eastAsia" w:ascii="仿宋" w:hAnsi="仿宋" w:eastAsia="仿宋" w:cs="Calibri"/>
          <w:b w:val="0"/>
          <w:bCs w:val="0"/>
          <w:color w:val="auto"/>
          <w:kern w:val="2"/>
          <w:sz w:val="28"/>
          <w:szCs w:val="28"/>
          <w:highlight w:val="none"/>
          <w:lang w:val="en-US" w:eastAsia="zh-CN" w:bidi="ar-SA"/>
        </w:rPr>
        <w:t>2.递交响应文件截止（评标）时间：2022年4月27日上午9:30</w:t>
      </w:r>
    </w:p>
    <w:p>
      <w:pPr>
        <w:pStyle w:val="4"/>
        <w:spacing w:line="360" w:lineRule="auto"/>
        <w:ind w:firstLine="560" w:firstLineChars="200"/>
        <w:rPr>
          <w:rFonts w:hint="eastAsia" w:ascii="仿宋" w:hAnsi="仿宋" w:eastAsia="仿宋" w:cs="Calibri"/>
          <w:b w:val="0"/>
          <w:bCs w:val="0"/>
          <w:color w:val="auto"/>
          <w:kern w:val="2"/>
          <w:sz w:val="28"/>
          <w:szCs w:val="28"/>
          <w:highlight w:val="none"/>
          <w:lang w:val="en-US" w:eastAsia="zh-CN" w:bidi="ar-SA"/>
        </w:rPr>
      </w:pPr>
      <w:r>
        <w:rPr>
          <w:rFonts w:hint="eastAsia" w:ascii="仿宋" w:hAnsi="仿宋" w:eastAsia="仿宋" w:cs="Calibri"/>
          <w:b w:val="0"/>
          <w:bCs w:val="0"/>
          <w:color w:val="auto"/>
          <w:kern w:val="2"/>
          <w:sz w:val="28"/>
          <w:szCs w:val="28"/>
          <w:highlight w:val="none"/>
          <w:lang w:val="en-US" w:eastAsia="zh-CN" w:bidi="ar-SA"/>
        </w:rPr>
        <w:t>3.响应文件接收及评标地点：鄂尔多斯飞机场综合办公楼2楼208招标室。</w:t>
      </w:r>
    </w:p>
    <w:p>
      <w:pPr>
        <w:pStyle w:val="4"/>
        <w:spacing w:line="360" w:lineRule="auto"/>
        <w:ind w:firstLine="560" w:firstLineChars="200"/>
        <w:rPr>
          <w:rFonts w:hint="eastAsia" w:ascii="仿宋" w:hAnsi="仿宋" w:eastAsia="仿宋" w:cs="Calibri"/>
          <w:b w:val="0"/>
          <w:bCs w:val="0"/>
          <w:color w:val="auto"/>
          <w:kern w:val="2"/>
          <w:sz w:val="28"/>
          <w:szCs w:val="28"/>
          <w:highlight w:val="none"/>
          <w:lang w:val="en-US" w:eastAsia="zh-CN" w:bidi="ar-SA"/>
        </w:rPr>
      </w:pPr>
      <w:r>
        <w:rPr>
          <w:rFonts w:hint="eastAsia" w:ascii="仿宋" w:hAnsi="仿宋" w:eastAsia="仿宋" w:cs="Calibri"/>
          <w:b w:val="0"/>
          <w:bCs w:val="0"/>
          <w:color w:val="auto"/>
          <w:kern w:val="2"/>
          <w:sz w:val="28"/>
          <w:szCs w:val="28"/>
          <w:highlight w:val="none"/>
          <w:lang w:val="en-US" w:eastAsia="zh-CN" w:bidi="ar-SA"/>
        </w:rPr>
        <w:t>4.响应文件需邮寄至内蒙古鄂尔多斯市伊金霍洛旗鄂尔多斯机场管理集团有限公司办公楼（不接收到付，自行注意响应文件到货时间），投标方邮寄响应文件后需将快递单号发送至邮箱，开标现场以视频方式进行，具体视频方式待报名后联系确认。</w:t>
      </w:r>
    </w:p>
    <w:p>
      <w:pPr>
        <w:pStyle w:val="4"/>
        <w:spacing w:line="360" w:lineRule="auto"/>
        <w:ind w:firstLine="551" w:firstLineChars="196"/>
        <w:rPr>
          <w:rFonts w:ascii="仿宋" w:hAnsi="仿宋" w:eastAsia="仿宋"/>
          <w:color w:val="auto"/>
          <w:sz w:val="28"/>
          <w:szCs w:val="28"/>
          <w:highlight w:val="none"/>
        </w:rPr>
      </w:pPr>
      <w:r>
        <w:rPr>
          <w:rFonts w:hint="eastAsia" w:ascii="仿宋" w:hAnsi="仿宋" w:eastAsia="仿宋"/>
          <w:color w:val="auto"/>
          <w:sz w:val="28"/>
          <w:szCs w:val="28"/>
          <w:highlight w:val="none"/>
        </w:rPr>
        <w:t>五、联系方式</w:t>
      </w:r>
      <w:bookmarkEnd w:id="7"/>
    </w:p>
    <w:p>
      <w:pPr>
        <w:pStyle w:val="5"/>
        <w:spacing w:line="360" w:lineRule="auto"/>
        <w:ind w:firstLine="560" w:firstLineChars="200"/>
        <w:rPr>
          <w:rFonts w:ascii="仿宋" w:hAnsi="仿宋" w:eastAsia="仿宋"/>
          <w:color w:val="auto"/>
          <w:kern w:val="2"/>
          <w:sz w:val="28"/>
          <w:szCs w:val="28"/>
          <w:highlight w:val="none"/>
        </w:rPr>
      </w:pPr>
      <w:r>
        <w:rPr>
          <w:rFonts w:hint="eastAsia" w:ascii="仿宋" w:hAnsi="仿宋" w:eastAsia="仿宋"/>
          <w:color w:val="auto"/>
          <w:kern w:val="2"/>
          <w:sz w:val="28"/>
          <w:szCs w:val="28"/>
          <w:highlight w:val="none"/>
        </w:rPr>
        <w:t>联 系 人：何国栋</w:t>
      </w:r>
    </w:p>
    <w:p>
      <w:pPr>
        <w:pStyle w:val="5"/>
        <w:spacing w:line="360" w:lineRule="auto"/>
        <w:ind w:firstLine="560" w:firstLineChars="200"/>
        <w:rPr>
          <w:rFonts w:hint="eastAsia" w:ascii="仿宋" w:hAnsi="仿宋" w:eastAsia="仿宋"/>
          <w:color w:val="auto"/>
          <w:kern w:val="2"/>
          <w:sz w:val="28"/>
          <w:szCs w:val="28"/>
          <w:highlight w:val="none"/>
          <w:lang w:val="en-US" w:eastAsia="zh-CN"/>
        </w:rPr>
      </w:pPr>
      <w:r>
        <w:rPr>
          <w:rFonts w:hint="eastAsia" w:ascii="仿宋" w:hAnsi="仿宋" w:eastAsia="仿宋"/>
          <w:color w:val="auto"/>
          <w:kern w:val="2"/>
          <w:sz w:val="28"/>
          <w:szCs w:val="28"/>
          <w:highlight w:val="none"/>
        </w:rPr>
        <w:t>联系电话：0477-3855</w:t>
      </w:r>
      <w:r>
        <w:rPr>
          <w:rFonts w:hint="eastAsia" w:ascii="仿宋" w:hAnsi="仿宋" w:eastAsia="仿宋"/>
          <w:color w:val="auto"/>
          <w:kern w:val="2"/>
          <w:sz w:val="28"/>
          <w:szCs w:val="28"/>
          <w:highlight w:val="none"/>
          <w:lang w:val="en-US" w:eastAsia="zh-CN"/>
        </w:rPr>
        <w:t>615</w:t>
      </w:r>
    </w:p>
    <w:p>
      <w:pPr>
        <w:pStyle w:val="5"/>
        <w:spacing w:line="360" w:lineRule="auto"/>
        <w:ind w:firstLine="560" w:firstLineChars="200"/>
        <w:rPr>
          <w:rFonts w:hint="default" w:ascii="仿宋" w:hAnsi="仿宋" w:eastAsia="仿宋"/>
          <w:color w:val="auto"/>
          <w:kern w:val="2"/>
          <w:sz w:val="28"/>
          <w:szCs w:val="28"/>
          <w:highlight w:val="none"/>
          <w:lang w:val="en-US" w:eastAsia="zh-CN"/>
        </w:rPr>
      </w:pPr>
      <w:r>
        <w:rPr>
          <w:rFonts w:hint="eastAsia" w:ascii="仿宋" w:hAnsi="仿宋" w:eastAsia="仿宋"/>
          <w:color w:val="auto"/>
          <w:kern w:val="2"/>
          <w:sz w:val="28"/>
          <w:szCs w:val="28"/>
          <w:highlight w:val="none"/>
          <w:lang w:val="en-US" w:eastAsia="zh-CN"/>
        </w:rPr>
        <w:t>邮    箱：915500582@qq.com</w:t>
      </w:r>
    </w:p>
    <w:p>
      <w:pPr>
        <w:spacing w:line="360" w:lineRule="auto"/>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地    址：鄂尔多斯市伊金霍洛旗飞机场</w:t>
      </w:r>
    </w:p>
    <w:p>
      <w:pPr>
        <w:spacing w:line="360" w:lineRule="auto"/>
        <w:rPr>
          <w:rFonts w:ascii="仿宋" w:hAnsi="仿宋" w:eastAsia="仿宋"/>
          <w:color w:val="auto"/>
          <w:sz w:val="28"/>
          <w:szCs w:val="28"/>
          <w:highlight w:val="none"/>
        </w:rPr>
      </w:pPr>
    </w:p>
    <w:p>
      <w:pPr>
        <w:spacing w:line="360" w:lineRule="auto"/>
        <w:rPr>
          <w:rFonts w:ascii="仿宋" w:hAnsi="仿宋" w:eastAsia="仿宋"/>
          <w:color w:val="auto"/>
          <w:sz w:val="28"/>
          <w:szCs w:val="28"/>
          <w:highlight w:val="none"/>
        </w:rPr>
      </w:pPr>
    </w:p>
    <w:p>
      <w:pPr>
        <w:spacing w:line="360" w:lineRule="auto"/>
        <w:rPr>
          <w:rFonts w:ascii="仿宋" w:hAnsi="仿宋" w:eastAsia="仿宋"/>
          <w:color w:val="auto"/>
          <w:sz w:val="28"/>
          <w:szCs w:val="28"/>
          <w:highlight w:val="none"/>
        </w:rPr>
      </w:pPr>
    </w:p>
    <w:p>
      <w:pPr>
        <w:spacing w:line="360" w:lineRule="auto"/>
        <w:rPr>
          <w:rFonts w:ascii="仿宋" w:hAnsi="仿宋" w:eastAsia="仿宋"/>
          <w:color w:val="auto"/>
          <w:sz w:val="28"/>
          <w:szCs w:val="28"/>
          <w:highlight w:val="none"/>
        </w:rPr>
      </w:pPr>
    </w:p>
    <w:p>
      <w:pPr>
        <w:spacing w:line="360" w:lineRule="auto"/>
        <w:rPr>
          <w:rFonts w:ascii="仿宋" w:hAnsi="仿宋" w:eastAsia="仿宋"/>
          <w:color w:val="auto"/>
          <w:sz w:val="28"/>
          <w:szCs w:val="28"/>
          <w:highlight w:val="none"/>
        </w:rPr>
      </w:pPr>
    </w:p>
    <w:p>
      <w:pPr>
        <w:spacing w:line="360" w:lineRule="auto"/>
        <w:rPr>
          <w:rFonts w:ascii="仿宋" w:hAnsi="仿宋" w:eastAsia="仿宋"/>
          <w:color w:val="auto"/>
          <w:sz w:val="28"/>
          <w:szCs w:val="28"/>
          <w:highlight w:val="none"/>
        </w:rPr>
      </w:pPr>
    </w:p>
    <w:p>
      <w:pPr>
        <w:spacing w:line="360" w:lineRule="auto"/>
        <w:rPr>
          <w:rFonts w:ascii="仿宋" w:hAnsi="仿宋" w:eastAsia="仿宋"/>
          <w:color w:val="auto"/>
          <w:sz w:val="28"/>
          <w:szCs w:val="28"/>
          <w:highlight w:val="none"/>
        </w:rPr>
      </w:pPr>
    </w:p>
    <w:p>
      <w:pPr>
        <w:spacing w:line="360" w:lineRule="auto"/>
        <w:rPr>
          <w:rFonts w:ascii="仿宋" w:hAnsi="仿宋" w:eastAsia="仿宋"/>
          <w:color w:val="auto"/>
          <w:sz w:val="28"/>
          <w:szCs w:val="28"/>
          <w:highlight w:val="none"/>
        </w:rPr>
      </w:pPr>
    </w:p>
    <w:p>
      <w:pPr>
        <w:pStyle w:val="2"/>
        <w:rPr>
          <w:rFonts w:ascii="仿宋" w:hAnsi="仿宋" w:eastAsia="仿宋"/>
          <w:color w:val="auto"/>
          <w:sz w:val="28"/>
          <w:szCs w:val="28"/>
          <w:highlight w:val="none"/>
        </w:rPr>
      </w:pPr>
    </w:p>
    <w:p>
      <w:pPr>
        <w:pStyle w:val="3"/>
        <w:spacing w:line="360" w:lineRule="auto"/>
        <w:rPr>
          <w:rFonts w:ascii="仿宋" w:hAnsi="仿宋" w:eastAsia="仿宋"/>
          <w:color w:val="auto"/>
          <w:highlight w:val="none"/>
        </w:rPr>
      </w:pPr>
      <w:bookmarkStart w:id="8" w:name="_Toc9153"/>
      <w:bookmarkStart w:id="52" w:name="_GoBack"/>
      <w:bookmarkEnd w:id="52"/>
      <w:r>
        <w:rPr>
          <w:rFonts w:hint="eastAsia" w:ascii="仿宋" w:hAnsi="仿宋" w:eastAsia="仿宋"/>
          <w:color w:val="auto"/>
          <w:highlight w:val="none"/>
        </w:rPr>
        <w:t>第二章  采购内容与技术要求</w:t>
      </w:r>
      <w:bookmarkEnd w:id="8"/>
    </w:p>
    <w:p>
      <w:pPr>
        <w:pStyle w:val="4"/>
        <w:spacing w:line="360" w:lineRule="auto"/>
        <w:ind w:firstLine="562" w:firstLineChars="200"/>
        <w:rPr>
          <w:rFonts w:ascii="仿宋" w:hAnsi="仿宋" w:eastAsia="仿宋"/>
          <w:color w:val="auto"/>
          <w:sz w:val="28"/>
          <w:highlight w:val="none"/>
        </w:rPr>
      </w:pPr>
      <w:bookmarkStart w:id="9" w:name="_Toc406421928"/>
      <w:bookmarkStart w:id="10" w:name="_Toc31137"/>
      <w:r>
        <w:rPr>
          <w:rFonts w:hint="eastAsia" w:ascii="仿宋" w:hAnsi="仿宋" w:eastAsia="仿宋"/>
          <w:color w:val="auto"/>
          <w:sz w:val="28"/>
          <w:highlight w:val="none"/>
        </w:rPr>
        <w:t>一、项目说明</w:t>
      </w:r>
      <w:bookmarkEnd w:id="9"/>
      <w:bookmarkEnd w:id="10"/>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仿宋" w:hAnsi="仿宋" w:eastAsia="仿宋" w:cs="宋体"/>
          <w:bCs/>
          <w:color w:val="auto"/>
          <w:kern w:val="0"/>
          <w:sz w:val="28"/>
          <w:highlight w:val="none"/>
        </w:rPr>
      </w:pPr>
      <w:r>
        <w:rPr>
          <w:rFonts w:hint="eastAsia" w:ascii="仿宋" w:hAnsi="仿宋" w:eastAsia="仿宋" w:cs="宋体"/>
          <w:bCs/>
          <w:color w:val="auto"/>
          <w:kern w:val="0"/>
          <w:sz w:val="28"/>
          <w:highlight w:val="none"/>
        </w:rPr>
        <w:t>1</w:t>
      </w:r>
      <w:r>
        <w:rPr>
          <w:rFonts w:hint="eastAsia" w:ascii="仿宋" w:hAnsi="仿宋" w:eastAsia="仿宋" w:cs="宋体"/>
          <w:bCs/>
          <w:color w:val="auto"/>
          <w:kern w:val="0"/>
          <w:sz w:val="28"/>
          <w:highlight w:val="none"/>
          <w:lang w:val="en-US" w:eastAsia="zh-CN"/>
        </w:rPr>
        <w:t>.</w:t>
      </w:r>
      <w:r>
        <w:rPr>
          <w:rFonts w:hint="eastAsia" w:ascii="仿宋" w:hAnsi="仿宋" w:eastAsia="仿宋" w:cs="宋体"/>
          <w:bCs/>
          <w:color w:val="auto"/>
          <w:kern w:val="0"/>
          <w:sz w:val="28"/>
          <w:highlight w:val="none"/>
        </w:rPr>
        <w:t>采购范围：</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宋体"/>
          <w:bCs/>
          <w:color w:val="auto"/>
          <w:kern w:val="0"/>
          <w:sz w:val="28"/>
          <w:highlight w:val="none"/>
          <w:lang w:val="en-US" w:eastAsia="zh-CN"/>
        </w:rPr>
      </w:pPr>
      <w:r>
        <w:rPr>
          <w:rFonts w:hint="eastAsia" w:ascii="仿宋" w:hAnsi="仿宋" w:eastAsia="仿宋" w:cs="宋体"/>
          <w:bCs/>
          <w:color w:val="auto"/>
          <w:kern w:val="0"/>
          <w:sz w:val="28"/>
          <w:highlight w:val="none"/>
          <w:lang w:val="en-US" w:eastAsia="zh-CN"/>
        </w:rPr>
        <w:t>对贵宾保障用具进行采购，按照要求提供手绘骨质瓷器具。</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宋体"/>
          <w:bCs/>
          <w:color w:val="auto"/>
          <w:kern w:val="0"/>
          <w:sz w:val="28"/>
          <w:highlight w:val="none"/>
          <w:lang w:val="en-US" w:eastAsia="zh-CN"/>
        </w:rPr>
      </w:pPr>
      <w:r>
        <w:rPr>
          <w:rFonts w:hint="eastAsia" w:ascii="仿宋" w:hAnsi="仿宋" w:eastAsia="仿宋" w:cs="宋体"/>
          <w:bCs/>
          <w:color w:val="auto"/>
          <w:kern w:val="0"/>
          <w:sz w:val="28"/>
          <w:highlight w:val="none"/>
          <w:lang w:val="en-US" w:eastAsia="zh-CN"/>
        </w:rPr>
        <w:t>2.</w:t>
      </w:r>
      <w:r>
        <w:rPr>
          <w:rFonts w:hint="eastAsia" w:ascii="仿宋" w:hAnsi="仿宋" w:eastAsia="仿宋" w:cs="宋体"/>
          <w:bCs/>
          <w:color w:val="auto"/>
          <w:kern w:val="0"/>
          <w:sz w:val="28"/>
          <w:highlight w:val="none"/>
        </w:rPr>
        <w:t>付款方式：</w:t>
      </w:r>
      <w:r>
        <w:rPr>
          <w:rFonts w:hint="eastAsia" w:ascii="仿宋" w:hAnsi="仿宋" w:eastAsia="仿宋" w:cs="宋体"/>
          <w:bCs/>
          <w:color w:val="auto"/>
          <w:kern w:val="0"/>
          <w:sz w:val="28"/>
          <w:highlight w:val="none"/>
          <w:lang w:val="en-US" w:eastAsia="zh-CN"/>
        </w:rPr>
        <w:t>投标人中标后签订供货合同，试用期结束后，一次性提供货物并进行验收后，支付100%合同款项。</w:t>
      </w:r>
    </w:p>
    <w:p>
      <w:pPr>
        <w:pStyle w:val="2"/>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color w:val="auto"/>
          <w:highlight w:val="none"/>
          <w:lang w:val="en-US" w:eastAsia="zh-CN"/>
        </w:rPr>
      </w:pPr>
      <w:r>
        <w:rPr>
          <w:rFonts w:hint="eastAsia"/>
          <w:color w:val="auto"/>
          <w:highlight w:val="none"/>
          <w:lang w:val="en-US" w:eastAsia="zh-CN"/>
        </w:rPr>
        <w:t xml:space="preserve"> </w:t>
      </w:r>
      <w:r>
        <w:rPr>
          <w:rFonts w:hint="eastAsia" w:ascii="仿宋" w:hAnsi="仿宋" w:eastAsia="仿宋" w:cs="宋体"/>
          <w:bCs/>
          <w:color w:val="auto"/>
          <w:kern w:val="0"/>
          <w:sz w:val="28"/>
          <w:szCs w:val="21"/>
          <w:highlight w:val="none"/>
          <w:lang w:val="en-US" w:eastAsia="zh-CN" w:bidi="ar-SA"/>
        </w:rPr>
        <w:t>3.交货时间：合同签订后一个月内交货。</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仿宋" w:hAnsi="仿宋" w:eastAsia="仿宋" w:cs="宋体"/>
          <w:bCs/>
          <w:color w:val="auto"/>
          <w:kern w:val="0"/>
          <w:sz w:val="28"/>
          <w:highlight w:val="none"/>
        </w:rPr>
      </w:pPr>
      <w:r>
        <w:rPr>
          <w:rFonts w:hint="eastAsia" w:ascii="仿宋" w:hAnsi="仿宋" w:eastAsia="仿宋" w:cs="宋体"/>
          <w:bCs/>
          <w:color w:val="auto"/>
          <w:kern w:val="0"/>
          <w:sz w:val="28"/>
          <w:highlight w:val="none"/>
        </w:rPr>
        <w:t>4</w:t>
      </w:r>
      <w:r>
        <w:rPr>
          <w:rFonts w:hint="eastAsia" w:ascii="仿宋" w:hAnsi="仿宋" w:eastAsia="仿宋" w:cs="宋体"/>
          <w:bCs/>
          <w:color w:val="auto"/>
          <w:kern w:val="0"/>
          <w:sz w:val="28"/>
          <w:highlight w:val="none"/>
          <w:lang w:val="en-US" w:eastAsia="zh-CN"/>
        </w:rPr>
        <w:t>.</w:t>
      </w:r>
      <w:r>
        <w:rPr>
          <w:rFonts w:hint="eastAsia" w:ascii="仿宋" w:hAnsi="仿宋" w:eastAsia="仿宋" w:cs="宋体"/>
          <w:bCs/>
          <w:color w:val="auto"/>
          <w:kern w:val="0"/>
          <w:sz w:val="28"/>
          <w:highlight w:val="none"/>
        </w:rPr>
        <w:t>发票要求：增值税专用发票</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textAlignment w:val="auto"/>
        <w:outlineLvl w:val="1"/>
        <w:rPr>
          <w:rFonts w:hint="eastAsia" w:ascii="仿宋" w:hAnsi="仿宋" w:eastAsia="仿宋" w:cs="Cambria"/>
          <w:b/>
          <w:bCs/>
          <w:color w:val="auto"/>
          <w:kern w:val="0"/>
          <w:sz w:val="28"/>
          <w:szCs w:val="32"/>
          <w:highlight w:val="none"/>
          <w:lang w:val="en-US" w:eastAsia="zh-CN" w:bidi="ar-SA"/>
        </w:rPr>
      </w:pPr>
      <w:bookmarkStart w:id="11" w:name="_Toc28941"/>
      <w:r>
        <w:rPr>
          <w:rFonts w:hint="eastAsia" w:ascii="仿宋" w:hAnsi="仿宋" w:eastAsia="仿宋" w:cs="Cambria"/>
          <w:b/>
          <w:bCs/>
          <w:color w:val="auto"/>
          <w:kern w:val="0"/>
          <w:sz w:val="28"/>
          <w:szCs w:val="32"/>
          <w:highlight w:val="none"/>
          <w:lang w:val="en-US" w:eastAsia="zh-CN" w:bidi="ar-SA"/>
        </w:rPr>
        <w:t>二、详细参数：</w:t>
      </w:r>
      <w:bookmarkEnd w:id="11"/>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Cambria"/>
          <w:b/>
          <w:bCs/>
          <w:color w:val="auto"/>
          <w:kern w:val="0"/>
          <w:sz w:val="28"/>
          <w:szCs w:val="32"/>
          <w:highlight w:val="none"/>
          <w:lang w:val="en-US" w:eastAsia="zh-CN" w:bidi="ar-SA"/>
        </w:rPr>
      </w:pPr>
      <w:r>
        <w:rPr>
          <w:rFonts w:hint="eastAsia" w:ascii="仿宋_GB2312" w:hAnsi="仿宋_GB2312" w:eastAsia="仿宋_GB2312" w:cs="仿宋_GB2312"/>
          <w:color w:val="auto"/>
          <w:sz w:val="28"/>
          <w:szCs w:val="28"/>
          <w:highlight w:val="none"/>
          <w:lang w:val="en-US" w:eastAsia="zh-CN"/>
        </w:rPr>
        <w:t>（一）项目简述</w:t>
      </w:r>
    </w:p>
    <w:tbl>
      <w:tblPr>
        <w:tblStyle w:val="11"/>
        <w:tblW w:w="1141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9"/>
        <w:gridCol w:w="975"/>
        <w:gridCol w:w="3140"/>
        <w:gridCol w:w="1007"/>
        <w:gridCol w:w="739"/>
        <w:gridCol w:w="964"/>
        <w:gridCol w:w="686"/>
        <w:gridCol w:w="814"/>
        <w:gridCol w:w="23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5" w:hRule="atLeast"/>
          <w:jc w:val="center"/>
        </w:trPr>
        <w:tc>
          <w:tcPr>
            <w:tcW w:w="11411" w:type="dxa"/>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等线" w:hAnsi="等线" w:eastAsia="等线" w:cs="等线"/>
                <w:b/>
                <w:bCs/>
                <w:i w:val="0"/>
                <w:iCs w:val="0"/>
                <w:color w:val="auto"/>
                <w:sz w:val="18"/>
                <w:szCs w:val="18"/>
                <w:highlight w:val="none"/>
                <w:u w:val="none"/>
                <w:lang w:val="en-US"/>
              </w:rPr>
            </w:pPr>
            <w:r>
              <w:rPr>
                <w:rFonts w:hint="eastAsia" w:ascii="等线" w:hAnsi="等线" w:eastAsia="等线" w:cs="等线"/>
                <w:b/>
                <w:bCs/>
                <w:i w:val="0"/>
                <w:iCs w:val="0"/>
                <w:color w:val="auto"/>
                <w:kern w:val="0"/>
                <w:sz w:val="18"/>
                <w:szCs w:val="18"/>
                <w:highlight w:val="none"/>
                <w:u w:val="none"/>
                <w:lang w:val="en-US" w:eastAsia="zh-CN" w:bidi="ar"/>
              </w:rPr>
              <w:t>需求清单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jc w:val="center"/>
        </w:trPr>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序号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产品名称</w:t>
            </w:r>
          </w:p>
        </w:tc>
        <w:tc>
          <w:tcPr>
            <w:tcW w:w="3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规格尺寸</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花面参考</w:t>
            </w:r>
          </w:p>
        </w:tc>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单位</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 xml:space="preserve">数量 </w:t>
            </w: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单价</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金额</w:t>
            </w:r>
          </w:p>
        </w:tc>
        <w:tc>
          <w:tcPr>
            <w:tcW w:w="23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参考图片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0" w:hRule="atLeast"/>
          <w:jc w:val="center"/>
        </w:trPr>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1</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会议盖杯</w:t>
            </w:r>
          </w:p>
        </w:tc>
        <w:tc>
          <w:tcPr>
            <w:tcW w:w="3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1.盖杯+花揪盖+底碟</w:t>
            </w:r>
            <w:r>
              <w:rPr>
                <w:rFonts w:hint="eastAsia" w:ascii="等线" w:hAnsi="等线" w:eastAsia="等线" w:cs="等线"/>
                <w:i w:val="0"/>
                <w:iCs w:val="0"/>
                <w:color w:val="auto"/>
                <w:kern w:val="0"/>
                <w:sz w:val="18"/>
                <w:szCs w:val="18"/>
                <w:highlight w:val="none"/>
                <w:u w:val="none"/>
                <w:lang w:val="en-US" w:eastAsia="zh-CN" w:bidi="ar"/>
              </w:rPr>
              <w:br w:type="textWrapping"/>
            </w:r>
            <w:r>
              <w:rPr>
                <w:rFonts w:hint="eastAsia" w:ascii="等线" w:hAnsi="等线" w:eastAsia="等线" w:cs="等线"/>
                <w:i w:val="0"/>
                <w:iCs w:val="0"/>
                <w:color w:val="auto"/>
                <w:kern w:val="0"/>
                <w:sz w:val="18"/>
                <w:szCs w:val="18"/>
                <w:highlight w:val="none"/>
                <w:u w:val="none"/>
                <w:lang w:val="en-US" w:eastAsia="zh-CN" w:bidi="ar"/>
              </w:rPr>
              <w:t>2.尺寸：直径8.5cm，高9cm</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瑶枝玉兰</w:t>
            </w:r>
          </w:p>
        </w:tc>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套</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277</w:t>
            </w: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23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等线" w:hAnsi="等线" w:eastAsia="等线" w:cs="等线"/>
                <w:i w:val="0"/>
                <w:iCs w:val="0"/>
                <w:color w:val="auto"/>
                <w:sz w:val="18"/>
                <w:szCs w:val="18"/>
                <w:highlight w:val="none"/>
                <w:u w:val="none"/>
                <w:lang w:eastAsia="zh-CN"/>
              </w:rPr>
            </w:pPr>
            <w:r>
              <w:rPr>
                <w:rFonts w:hint="eastAsia" w:ascii="等线" w:hAnsi="等线" w:eastAsia="等线" w:cs="等线"/>
                <w:b/>
                <w:bCs/>
                <w:i w:val="0"/>
                <w:iCs w:val="0"/>
                <w:color w:val="auto"/>
                <w:kern w:val="0"/>
                <w:sz w:val="18"/>
                <w:szCs w:val="18"/>
                <w:highlight w:val="none"/>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702945</wp:posOffset>
                  </wp:positionH>
                  <wp:positionV relativeFrom="paragraph">
                    <wp:posOffset>84455</wp:posOffset>
                  </wp:positionV>
                  <wp:extent cx="614680" cy="672465"/>
                  <wp:effectExtent l="0" t="0" r="13970" b="13335"/>
                  <wp:wrapNone/>
                  <wp:docPr id="6" name="Picture_4"/>
                  <wp:cNvGraphicFramePr/>
                  <a:graphic xmlns:a="http://schemas.openxmlformats.org/drawingml/2006/main">
                    <a:graphicData uri="http://schemas.openxmlformats.org/drawingml/2006/picture">
                      <pic:pic xmlns:pic="http://schemas.openxmlformats.org/drawingml/2006/picture">
                        <pic:nvPicPr>
                          <pic:cNvPr id="6" name="Picture_4"/>
                          <pic:cNvPicPr/>
                        </pic:nvPicPr>
                        <pic:blipFill>
                          <a:blip r:embed="rId5"/>
                          <a:stretch>
                            <a:fillRect/>
                          </a:stretch>
                        </pic:blipFill>
                        <pic:spPr>
                          <a:xfrm>
                            <a:off x="0" y="0"/>
                            <a:ext cx="614680" cy="672465"/>
                          </a:xfrm>
                          <a:prstGeom prst="roundRect">
                            <a:avLst/>
                          </a:prstGeom>
                          <a:noFill/>
                          <a:ln>
                            <a:noFill/>
                          </a:ln>
                        </pic:spPr>
                      </pic:pic>
                    </a:graphicData>
                  </a:graphic>
                </wp:anchor>
              </w:drawing>
            </w:r>
            <w:r>
              <w:rPr>
                <w:rFonts w:hint="eastAsia" w:ascii="等线" w:hAnsi="等线" w:eastAsia="等线" w:cs="等线"/>
                <w:i w:val="0"/>
                <w:iCs w:val="0"/>
                <w:color w:val="auto"/>
                <w:sz w:val="18"/>
                <w:szCs w:val="18"/>
                <w:highlight w:val="none"/>
                <w:u w:val="none"/>
                <w:lang w:eastAsia="zh-CN"/>
              </w:rPr>
              <w:drawing>
                <wp:inline distT="0" distB="0" distL="114300" distR="114300">
                  <wp:extent cx="602615" cy="692785"/>
                  <wp:effectExtent l="0" t="0" r="6985" b="12065"/>
                  <wp:docPr id="7" name="图片 7" descr="16448209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644820952(1)"/>
                          <pic:cNvPicPr>
                            <a:picLocks noChangeAspect="1"/>
                          </pic:cNvPicPr>
                        </pic:nvPicPr>
                        <pic:blipFill>
                          <a:blip r:embed="rId6"/>
                          <a:stretch>
                            <a:fillRect/>
                          </a:stretch>
                        </pic:blipFill>
                        <pic:spPr>
                          <a:xfrm>
                            <a:off x="0" y="0"/>
                            <a:ext cx="602615" cy="692785"/>
                          </a:xfrm>
                          <a:prstGeom prst="round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0" w:hRule="atLeast"/>
          <w:jc w:val="center"/>
        </w:trPr>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等线" w:hAnsi="等线" w:eastAsia="等线" w:cs="等线"/>
                <w:i w:val="0"/>
                <w:iCs w:val="0"/>
                <w:color w:val="auto"/>
                <w:kern w:val="0"/>
                <w:sz w:val="18"/>
                <w:szCs w:val="18"/>
                <w:highlight w:val="none"/>
                <w:u w:val="none"/>
                <w:lang w:val="en-US" w:eastAsia="zh-CN" w:bidi="ar"/>
              </w:rPr>
            </w:pPr>
            <w:r>
              <w:rPr>
                <w:rFonts w:hint="eastAsia" w:ascii="等线" w:hAnsi="等线" w:eastAsia="等线" w:cs="等线"/>
                <w:i w:val="0"/>
                <w:iCs w:val="0"/>
                <w:color w:val="auto"/>
                <w:kern w:val="0"/>
                <w:sz w:val="18"/>
                <w:szCs w:val="18"/>
                <w:highlight w:val="none"/>
                <w:u w:val="none"/>
                <w:lang w:val="en-US" w:eastAsia="zh-CN" w:bidi="ar"/>
              </w:rPr>
              <w:t>2</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等线" w:hAnsi="等线" w:eastAsia="等线" w:cs="等线"/>
                <w:i w:val="0"/>
                <w:iCs w:val="0"/>
                <w:color w:val="auto"/>
                <w:kern w:val="0"/>
                <w:sz w:val="18"/>
                <w:szCs w:val="18"/>
                <w:highlight w:val="none"/>
                <w:u w:val="none"/>
                <w:lang w:val="en-US" w:eastAsia="zh-CN" w:bidi="ar"/>
              </w:rPr>
            </w:pPr>
            <w:r>
              <w:rPr>
                <w:rFonts w:hint="eastAsia" w:ascii="等线" w:hAnsi="等线" w:eastAsia="等线" w:cs="等线"/>
                <w:i w:val="0"/>
                <w:iCs w:val="0"/>
                <w:color w:val="auto"/>
                <w:kern w:val="0"/>
                <w:sz w:val="18"/>
                <w:szCs w:val="18"/>
                <w:highlight w:val="none"/>
                <w:u w:val="none"/>
                <w:lang w:val="en-US" w:eastAsia="zh-CN" w:bidi="ar"/>
              </w:rPr>
              <w:t>会议盖杯</w:t>
            </w:r>
          </w:p>
        </w:tc>
        <w:tc>
          <w:tcPr>
            <w:tcW w:w="3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auto"/>
                <w:kern w:val="0"/>
                <w:sz w:val="18"/>
                <w:szCs w:val="18"/>
                <w:highlight w:val="none"/>
                <w:u w:val="none"/>
                <w:lang w:val="en-US" w:eastAsia="zh-CN" w:bidi="ar"/>
              </w:rPr>
            </w:pPr>
            <w:r>
              <w:rPr>
                <w:rFonts w:hint="eastAsia" w:ascii="等线" w:hAnsi="等线" w:eastAsia="等线" w:cs="等线"/>
                <w:i w:val="0"/>
                <w:iCs w:val="0"/>
                <w:color w:val="auto"/>
                <w:kern w:val="0"/>
                <w:sz w:val="18"/>
                <w:szCs w:val="18"/>
                <w:highlight w:val="none"/>
                <w:u w:val="none"/>
                <w:lang w:val="en-US" w:eastAsia="zh-CN" w:bidi="ar"/>
              </w:rPr>
              <w:t>1.盖杯+花揪盖+底碟</w:t>
            </w:r>
            <w:r>
              <w:rPr>
                <w:rFonts w:hint="eastAsia" w:ascii="等线" w:hAnsi="等线" w:eastAsia="等线" w:cs="等线"/>
                <w:i w:val="0"/>
                <w:iCs w:val="0"/>
                <w:color w:val="auto"/>
                <w:kern w:val="0"/>
                <w:sz w:val="18"/>
                <w:szCs w:val="18"/>
                <w:highlight w:val="none"/>
                <w:u w:val="none"/>
                <w:lang w:val="en-US" w:eastAsia="zh-CN" w:bidi="ar"/>
              </w:rPr>
              <w:br w:type="textWrapping"/>
            </w:r>
            <w:r>
              <w:rPr>
                <w:rFonts w:hint="eastAsia" w:ascii="等线" w:hAnsi="等线" w:eastAsia="等线" w:cs="等线"/>
                <w:i w:val="0"/>
                <w:iCs w:val="0"/>
                <w:color w:val="auto"/>
                <w:kern w:val="0"/>
                <w:sz w:val="18"/>
                <w:szCs w:val="18"/>
                <w:highlight w:val="none"/>
                <w:u w:val="none"/>
                <w:lang w:val="en-US" w:eastAsia="zh-CN" w:bidi="ar"/>
              </w:rPr>
              <w:t>2.尺寸：直径8.5cm，高9cm</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等线" w:hAnsi="等线" w:eastAsia="等线" w:cs="等线"/>
                <w:i w:val="0"/>
                <w:iCs w:val="0"/>
                <w:color w:val="auto"/>
                <w:kern w:val="0"/>
                <w:sz w:val="18"/>
                <w:szCs w:val="18"/>
                <w:highlight w:val="none"/>
                <w:u w:val="none"/>
                <w:lang w:val="en-US" w:eastAsia="zh-CN" w:bidi="ar"/>
              </w:rPr>
            </w:pPr>
            <w:r>
              <w:rPr>
                <w:rFonts w:hint="eastAsia" w:ascii="等线" w:hAnsi="等线" w:eastAsia="等线" w:cs="等线"/>
                <w:i w:val="0"/>
                <w:iCs w:val="0"/>
                <w:color w:val="auto"/>
                <w:kern w:val="0"/>
                <w:sz w:val="18"/>
                <w:szCs w:val="18"/>
                <w:highlight w:val="none"/>
                <w:u w:val="none"/>
                <w:lang w:val="en-US" w:eastAsia="zh-CN" w:bidi="ar"/>
              </w:rPr>
              <w:t>望海潮</w:t>
            </w:r>
          </w:p>
        </w:tc>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等线" w:hAnsi="等线" w:eastAsia="等线" w:cs="等线"/>
                <w:i w:val="0"/>
                <w:iCs w:val="0"/>
                <w:color w:val="auto"/>
                <w:kern w:val="0"/>
                <w:sz w:val="18"/>
                <w:szCs w:val="18"/>
                <w:highlight w:val="none"/>
                <w:u w:val="none"/>
                <w:lang w:val="en-US" w:eastAsia="zh-CN" w:bidi="ar"/>
              </w:rPr>
            </w:pPr>
            <w:r>
              <w:rPr>
                <w:rFonts w:hint="eastAsia" w:ascii="等线" w:hAnsi="等线" w:eastAsia="等线" w:cs="等线"/>
                <w:i w:val="0"/>
                <w:iCs w:val="0"/>
                <w:color w:val="auto"/>
                <w:kern w:val="0"/>
                <w:sz w:val="18"/>
                <w:szCs w:val="18"/>
                <w:highlight w:val="none"/>
                <w:u w:val="none"/>
                <w:lang w:val="en-US" w:eastAsia="zh-CN" w:bidi="ar"/>
              </w:rPr>
              <w:t>套</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等线" w:hAnsi="等线" w:eastAsia="等线" w:cs="等线"/>
                <w:b/>
                <w:bCs/>
                <w:i w:val="0"/>
                <w:iCs w:val="0"/>
                <w:color w:val="auto"/>
                <w:kern w:val="0"/>
                <w:sz w:val="18"/>
                <w:szCs w:val="18"/>
                <w:highlight w:val="none"/>
                <w:u w:val="none"/>
                <w:lang w:val="en-US" w:eastAsia="zh-CN" w:bidi="ar"/>
              </w:rPr>
            </w:pPr>
            <w:r>
              <w:rPr>
                <w:rFonts w:hint="eastAsia" w:ascii="等线" w:hAnsi="等线" w:eastAsia="等线" w:cs="等线"/>
                <w:b/>
                <w:bCs/>
                <w:i w:val="0"/>
                <w:iCs w:val="0"/>
                <w:color w:val="auto"/>
                <w:kern w:val="0"/>
                <w:sz w:val="18"/>
                <w:szCs w:val="18"/>
                <w:highlight w:val="none"/>
                <w:u w:val="none"/>
                <w:lang w:val="en-US" w:eastAsia="zh-CN" w:bidi="ar"/>
              </w:rPr>
              <w:t>50</w:t>
            </w: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23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等线" w:hAnsi="等线" w:eastAsia="等线" w:cs="等线"/>
                <w:b/>
                <w:bCs/>
                <w:i w:val="0"/>
                <w:iCs w:val="0"/>
                <w:color w:val="auto"/>
                <w:kern w:val="0"/>
                <w:sz w:val="18"/>
                <w:szCs w:val="18"/>
                <w:highlight w:val="none"/>
                <w:u w:val="none"/>
                <w:bdr w:val="single" w:color="000000" w:sz="4" w:space="0"/>
                <w:lang w:val="en-US" w:eastAsia="zh-CN" w:bidi="ar"/>
              </w:rPr>
            </w:pPr>
            <w:r>
              <w:rPr>
                <w:rFonts w:hint="eastAsia" w:ascii="等线" w:hAnsi="等线" w:eastAsia="等线" w:cs="等线"/>
                <w:b/>
                <w:bCs/>
                <w:i w:val="0"/>
                <w:iCs w:val="0"/>
                <w:color w:val="auto"/>
                <w:kern w:val="0"/>
                <w:sz w:val="18"/>
                <w:szCs w:val="18"/>
                <w:highlight w:val="none"/>
                <w:u w:val="none"/>
                <w:bdr w:val="single" w:color="000000" w:sz="4" w:space="0"/>
                <w:lang w:val="en-US" w:eastAsia="zh-CN" w:bidi="ar"/>
              </w:rPr>
              <w:drawing>
                <wp:inline distT="0" distB="0" distL="114300" distR="114300">
                  <wp:extent cx="854710" cy="933450"/>
                  <wp:effectExtent l="0" t="0" r="2540" b="0"/>
                  <wp:docPr id="12" name="图片 12" descr="lADPJx8ZvjOJyiXNA-jNAu4_750_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lADPJx8ZvjOJyiXNA-jNAu4_750_1000"/>
                          <pic:cNvPicPr>
                            <a:picLocks noChangeAspect="1"/>
                          </pic:cNvPicPr>
                        </pic:nvPicPr>
                        <pic:blipFill>
                          <a:blip r:embed="rId7"/>
                          <a:srcRect l="20461" t="29101" r="16228" b="19048"/>
                          <a:stretch>
                            <a:fillRect/>
                          </a:stretch>
                        </pic:blipFill>
                        <pic:spPr>
                          <a:xfrm>
                            <a:off x="0" y="0"/>
                            <a:ext cx="854710" cy="93345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jc w:val="center"/>
        </w:trPr>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毛巾碟</w:t>
            </w:r>
          </w:p>
        </w:tc>
        <w:tc>
          <w:tcPr>
            <w:tcW w:w="3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1.长毛巾托</w:t>
            </w:r>
            <w:r>
              <w:rPr>
                <w:rFonts w:hint="eastAsia" w:ascii="等线" w:hAnsi="等线" w:eastAsia="等线" w:cs="等线"/>
                <w:i w:val="0"/>
                <w:iCs w:val="0"/>
                <w:color w:val="auto"/>
                <w:kern w:val="0"/>
                <w:sz w:val="18"/>
                <w:szCs w:val="18"/>
                <w:highlight w:val="none"/>
                <w:u w:val="none"/>
                <w:lang w:val="en-US" w:eastAsia="zh-CN" w:bidi="ar"/>
              </w:rPr>
              <w:br w:type="textWrapping"/>
            </w:r>
            <w:r>
              <w:rPr>
                <w:rFonts w:hint="eastAsia" w:ascii="等线" w:hAnsi="等线" w:eastAsia="等线" w:cs="等线"/>
                <w:i w:val="0"/>
                <w:iCs w:val="0"/>
                <w:color w:val="auto"/>
                <w:kern w:val="0"/>
                <w:sz w:val="18"/>
                <w:szCs w:val="18"/>
                <w:highlight w:val="none"/>
                <w:u w:val="none"/>
                <w:lang w:val="en-US" w:eastAsia="zh-CN" w:bidi="ar"/>
              </w:rPr>
              <w:t>2.长*宽*高，15.5cm*9cm*3cm</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瑶枝玉兰</w:t>
            </w:r>
          </w:p>
        </w:tc>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件</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277</w:t>
            </w: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23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57150</wp:posOffset>
                  </wp:positionH>
                  <wp:positionV relativeFrom="paragraph">
                    <wp:posOffset>94615</wp:posOffset>
                  </wp:positionV>
                  <wp:extent cx="799465" cy="495935"/>
                  <wp:effectExtent l="0" t="0" r="635" b="18415"/>
                  <wp:wrapNone/>
                  <wp:docPr id="2" name="图片_2"/>
                  <wp:cNvGraphicFramePr/>
                  <a:graphic xmlns:a="http://schemas.openxmlformats.org/drawingml/2006/main">
                    <a:graphicData uri="http://schemas.openxmlformats.org/drawingml/2006/picture">
                      <pic:pic xmlns:pic="http://schemas.openxmlformats.org/drawingml/2006/picture">
                        <pic:nvPicPr>
                          <pic:cNvPr id="2" name="图片_2"/>
                          <pic:cNvPicPr/>
                        </pic:nvPicPr>
                        <pic:blipFill>
                          <a:blip r:embed="rId8"/>
                          <a:stretch>
                            <a:fillRect/>
                          </a:stretch>
                        </pic:blipFill>
                        <pic:spPr>
                          <a:xfrm>
                            <a:off x="0" y="0"/>
                            <a:ext cx="799465" cy="49593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jc w:val="center"/>
        </w:trPr>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lang w:val="en-US" w:eastAsia="zh-CN"/>
              </w:rPr>
            </w:pPr>
            <w:r>
              <w:rPr>
                <w:rFonts w:hint="eastAsia" w:ascii="等线" w:hAnsi="等线" w:eastAsia="等线" w:cs="等线"/>
                <w:i w:val="0"/>
                <w:iCs w:val="0"/>
                <w:color w:val="auto"/>
                <w:sz w:val="18"/>
                <w:szCs w:val="18"/>
                <w:highlight w:val="none"/>
                <w:u w:val="none"/>
                <w:lang w:val="en-US" w:eastAsia="zh-CN"/>
              </w:rPr>
              <w:t>4</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咖啡杯+碟</w:t>
            </w:r>
          </w:p>
        </w:tc>
        <w:tc>
          <w:tcPr>
            <w:tcW w:w="3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等线" w:hAnsi="等线" w:eastAsia="等线" w:cs="等线"/>
                <w:i w:val="0"/>
                <w:iCs w:val="0"/>
                <w:color w:val="auto"/>
                <w:sz w:val="18"/>
                <w:szCs w:val="18"/>
                <w:highlight w:val="none"/>
                <w:u w:val="none"/>
                <w:lang w:val="en-US"/>
              </w:rPr>
            </w:pPr>
            <w:r>
              <w:rPr>
                <w:rFonts w:hint="eastAsia" w:ascii="等线" w:hAnsi="等线" w:eastAsia="等线" w:cs="等线"/>
                <w:i w:val="0"/>
                <w:iCs w:val="0"/>
                <w:color w:val="auto"/>
                <w:kern w:val="0"/>
                <w:sz w:val="18"/>
                <w:szCs w:val="18"/>
                <w:highlight w:val="none"/>
                <w:u w:val="none"/>
                <w:lang w:val="en-US" w:eastAsia="zh-CN" w:bidi="ar"/>
              </w:rPr>
              <w:t>1.杯+碟</w:t>
            </w:r>
            <w:r>
              <w:rPr>
                <w:rFonts w:hint="eastAsia" w:ascii="等线" w:hAnsi="等线" w:eastAsia="等线" w:cs="等线"/>
                <w:i w:val="0"/>
                <w:iCs w:val="0"/>
                <w:color w:val="auto"/>
                <w:kern w:val="0"/>
                <w:sz w:val="18"/>
                <w:szCs w:val="18"/>
                <w:highlight w:val="none"/>
                <w:u w:val="none"/>
                <w:lang w:val="en-US" w:eastAsia="zh-CN" w:bidi="ar"/>
              </w:rPr>
              <w:br w:type="textWrapping"/>
            </w:r>
            <w:r>
              <w:rPr>
                <w:rFonts w:hint="eastAsia" w:ascii="等线" w:hAnsi="等线" w:eastAsia="等线" w:cs="等线"/>
                <w:i w:val="0"/>
                <w:iCs w:val="0"/>
                <w:color w:val="auto"/>
                <w:kern w:val="0"/>
                <w:sz w:val="18"/>
                <w:szCs w:val="18"/>
                <w:highlight w:val="none"/>
                <w:u w:val="none"/>
                <w:lang w:val="en-US" w:eastAsia="zh-CN" w:bidi="ar"/>
              </w:rPr>
              <w:t>2.尺寸：直径8.5cm，高6.5cm</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瑶枝玉兰</w:t>
            </w:r>
          </w:p>
        </w:tc>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套</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153</w:t>
            </w: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23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737870</wp:posOffset>
                  </wp:positionH>
                  <wp:positionV relativeFrom="paragraph">
                    <wp:posOffset>624205</wp:posOffset>
                  </wp:positionV>
                  <wp:extent cx="646430" cy="640080"/>
                  <wp:effectExtent l="0" t="0" r="1270" b="7620"/>
                  <wp:wrapNone/>
                  <wp:docPr id="3" name="Picture_2"/>
                  <wp:cNvGraphicFramePr/>
                  <a:graphic xmlns:a="http://schemas.openxmlformats.org/drawingml/2006/main">
                    <a:graphicData uri="http://schemas.openxmlformats.org/drawingml/2006/picture">
                      <pic:pic xmlns:pic="http://schemas.openxmlformats.org/drawingml/2006/picture">
                        <pic:nvPicPr>
                          <pic:cNvPr id="3" name="Picture_2"/>
                          <pic:cNvPicPr/>
                        </pic:nvPicPr>
                        <pic:blipFill>
                          <a:blip r:embed="rId9"/>
                          <a:stretch>
                            <a:fillRect/>
                          </a:stretch>
                        </pic:blipFill>
                        <pic:spPr>
                          <a:xfrm>
                            <a:off x="0" y="0"/>
                            <a:ext cx="646430" cy="640080"/>
                          </a:xfrm>
                          <a:prstGeom prst="rect">
                            <a:avLst/>
                          </a:prstGeom>
                          <a:noFill/>
                          <a:ln>
                            <a:noFill/>
                          </a:ln>
                        </pic:spPr>
                      </pic:pic>
                    </a:graphicData>
                  </a:graphic>
                </wp:anchor>
              </w:drawing>
            </w:r>
            <w:r>
              <w:rPr>
                <w:rFonts w:hint="eastAsia" w:ascii="等线" w:hAnsi="等线" w:eastAsia="等线" w:cs="等线"/>
                <w:i w:val="0"/>
                <w:iCs w:val="0"/>
                <w:color w:val="auto"/>
                <w:kern w:val="0"/>
                <w:sz w:val="18"/>
                <w:szCs w:val="18"/>
                <w:highlight w:val="none"/>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712470</wp:posOffset>
                  </wp:positionH>
                  <wp:positionV relativeFrom="paragraph">
                    <wp:posOffset>33020</wp:posOffset>
                  </wp:positionV>
                  <wp:extent cx="671195" cy="520065"/>
                  <wp:effectExtent l="0" t="0" r="14605" b="13335"/>
                  <wp:wrapNone/>
                  <wp:docPr id="1" name="Picture_5"/>
                  <wp:cNvGraphicFramePr/>
                  <a:graphic xmlns:a="http://schemas.openxmlformats.org/drawingml/2006/main">
                    <a:graphicData uri="http://schemas.openxmlformats.org/drawingml/2006/picture">
                      <pic:pic xmlns:pic="http://schemas.openxmlformats.org/drawingml/2006/picture">
                        <pic:nvPicPr>
                          <pic:cNvPr id="1" name="Picture_5"/>
                          <pic:cNvPicPr/>
                        </pic:nvPicPr>
                        <pic:blipFill>
                          <a:blip r:embed="rId10"/>
                          <a:stretch>
                            <a:fillRect/>
                          </a:stretch>
                        </pic:blipFill>
                        <pic:spPr>
                          <a:xfrm>
                            <a:off x="0" y="0"/>
                            <a:ext cx="671195" cy="520065"/>
                          </a:xfrm>
                          <a:prstGeom prst="rect">
                            <a:avLst/>
                          </a:prstGeom>
                          <a:noFill/>
                          <a:ln>
                            <a:noFill/>
                          </a:ln>
                        </pic:spPr>
                      </pic:pic>
                    </a:graphicData>
                  </a:graphic>
                </wp:anchor>
              </w:drawing>
            </w:r>
            <w:r>
              <w:rPr>
                <w:rFonts w:hint="eastAsia" w:ascii="等线" w:hAnsi="等线" w:eastAsia="等线" w:cs="等线"/>
                <w:i w:val="0"/>
                <w:iCs w:val="0"/>
                <w:color w:val="auto"/>
                <w:kern w:val="0"/>
                <w:sz w:val="18"/>
                <w:szCs w:val="18"/>
                <w:highlight w:val="none"/>
                <w:u w:val="none"/>
                <w:bdr w:val="single" w:color="000000" w:sz="4" w:space="0"/>
                <w:lang w:val="en-US" w:eastAsia="zh-CN" w:bidi="ar"/>
              </w:rPr>
              <w:drawing>
                <wp:inline distT="0" distB="0" distL="114300" distR="114300">
                  <wp:extent cx="687070" cy="581660"/>
                  <wp:effectExtent l="0" t="0" r="17780" b="8890"/>
                  <wp:docPr id="8" name="图片 8" descr="16448209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644820997(1)"/>
                          <pic:cNvPicPr>
                            <a:picLocks noChangeAspect="1"/>
                          </pic:cNvPicPr>
                        </pic:nvPicPr>
                        <pic:blipFill>
                          <a:blip r:embed="rId11"/>
                          <a:stretch>
                            <a:fillRect/>
                          </a:stretch>
                        </pic:blipFill>
                        <pic:spPr>
                          <a:xfrm>
                            <a:off x="0" y="0"/>
                            <a:ext cx="687070" cy="581660"/>
                          </a:xfrm>
                          <a:prstGeom prst="round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jc w:val="center"/>
        </w:trPr>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5</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甜品盘</w:t>
            </w:r>
          </w:p>
        </w:tc>
        <w:tc>
          <w:tcPr>
            <w:tcW w:w="3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6寸平盘</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瑶枝玉兰</w:t>
            </w:r>
          </w:p>
        </w:tc>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件</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40</w:t>
            </w: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23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bdr w:val="single" w:color="000000" w:sz="4" w:space="0"/>
                <w:lang w:val="en-US" w:eastAsia="zh-CN" w:bidi="ar"/>
              </w:rPr>
              <w:drawing>
                <wp:inline distT="0" distB="0" distL="114300" distR="114300">
                  <wp:extent cx="561340" cy="508635"/>
                  <wp:effectExtent l="0" t="0" r="10160" b="5715"/>
                  <wp:docPr id="9" name="图片 9" descr="164482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644821025"/>
                          <pic:cNvPicPr>
                            <a:picLocks noChangeAspect="1"/>
                          </pic:cNvPicPr>
                        </pic:nvPicPr>
                        <pic:blipFill>
                          <a:blip r:embed="rId12"/>
                          <a:stretch>
                            <a:fillRect/>
                          </a:stretch>
                        </pic:blipFill>
                        <pic:spPr>
                          <a:xfrm>
                            <a:off x="0" y="0"/>
                            <a:ext cx="561340" cy="508635"/>
                          </a:xfrm>
                          <a:prstGeom prst="ellipse">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jc w:val="center"/>
        </w:trPr>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6</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糖缸</w:t>
            </w:r>
          </w:p>
        </w:tc>
        <w:tc>
          <w:tcPr>
            <w:tcW w:w="3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1.直身糖缸</w:t>
            </w:r>
            <w:r>
              <w:rPr>
                <w:rFonts w:hint="eastAsia" w:ascii="等线" w:hAnsi="等线" w:eastAsia="等线" w:cs="等线"/>
                <w:i w:val="0"/>
                <w:iCs w:val="0"/>
                <w:color w:val="auto"/>
                <w:kern w:val="0"/>
                <w:sz w:val="18"/>
                <w:szCs w:val="18"/>
                <w:highlight w:val="none"/>
                <w:u w:val="none"/>
                <w:lang w:val="en-US" w:eastAsia="zh-CN" w:bidi="ar"/>
              </w:rPr>
              <w:br w:type="textWrapping"/>
            </w:r>
            <w:r>
              <w:rPr>
                <w:rFonts w:hint="eastAsia" w:ascii="等线" w:hAnsi="等线" w:eastAsia="等线" w:cs="等线"/>
                <w:i w:val="0"/>
                <w:iCs w:val="0"/>
                <w:color w:val="auto"/>
                <w:kern w:val="0"/>
                <w:sz w:val="18"/>
                <w:szCs w:val="18"/>
                <w:highlight w:val="none"/>
                <w:u w:val="none"/>
                <w:lang w:val="en-US" w:eastAsia="zh-CN" w:bidi="ar"/>
              </w:rPr>
              <w:t>2.尺寸：长*宽*高，7.5cm*10cm*5cm</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瑶枝玉兰</w:t>
            </w:r>
          </w:p>
        </w:tc>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件</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20</w:t>
            </w: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23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bdr w:val="single" w:color="000000" w:sz="4" w:space="0"/>
                <w:lang w:val="en-US" w:eastAsia="zh-CN" w:bidi="ar"/>
              </w:rPr>
              <w:drawing>
                <wp:inline distT="0" distB="0" distL="114300" distR="114300">
                  <wp:extent cx="729615" cy="489585"/>
                  <wp:effectExtent l="0" t="0" r="13335" b="5715"/>
                  <wp:docPr id="11" name="图片 11" descr="1644821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644821137(1)"/>
                          <pic:cNvPicPr>
                            <a:picLocks noChangeAspect="1"/>
                          </pic:cNvPicPr>
                        </pic:nvPicPr>
                        <pic:blipFill>
                          <a:blip r:embed="rId13"/>
                          <a:stretch>
                            <a:fillRect/>
                          </a:stretch>
                        </pic:blipFill>
                        <pic:spPr>
                          <a:xfrm>
                            <a:off x="0" y="0"/>
                            <a:ext cx="729615" cy="489585"/>
                          </a:xfrm>
                          <a:prstGeom prst="rect">
                            <a:avLst/>
                          </a:prstGeom>
                        </pic:spPr>
                      </pic:pic>
                    </a:graphicData>
                  </a:graphic>
                </wp:inline>
              </w:drawing>
            </w:r>
            <w:r>
              <w:rPr>
                <w:rFonts w:hint="eastAsia" w:ascii="等线" w:hAnsi="等线" w:eastAsia="等线" w:cs="等线"/>
                <w:i w:val="0"/>
                <w:iCs w:val="0"/>
                <w:color w:val="auto"/>
                <w:kern w:val="0"/>
                <w:sz w:val="18"/>
                <w:szCs w:val="18"/>
                <w:highlight w:val="none"/>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720090</wp:posOffset>
                  </wp:positionH>
                  <wp:positionV relativeFrom="paragraph">
                    <wp:posOffset>7620</wp:posOffset>
                  </wp:positionV>
                  <wp:extent cx="714375" cy="598805"/>
                  <wp:effectExtent l="0" t="0" r="9525" b="10795"/>
                  <wp:wrapNone/>
                  <wp:docPr id="5" name="Picture_1"/>
                  <wp:cNvGraphicFramePr/>
                  <a:graphic xmlns:a="http://schemas.openxmlformats.org/drawingml/2006/main">
                    <a:graphicData uri="http://schemas.openxmlformats.org/drawingml/2006/picture">
                      <pic:pic xmlns:pic="http://schemas.openxmlformats.org/drawingml/2006/picture">
                        <pic:nvPicPr>
                          <pic:cNvPr id="5" name="Picture_1"/>
                          <pic:cNvPicPr/>
                        </pic:nvPicPr>
                        <pic:blipFill>
                          <a:blip r:embed="rId14"/>
                          <a:stretch>
                            <a:fillRect/>
                          </a:stretch>
                        </pic:blipFill>
                        <pic:spPr>
                          <a:xfrm>
                            <a:off x="0" y="0"/>
                            <a:ext cx="714375" cy="598805"/>
                          </a:xfrm>
                          <a:prstGeom prst="round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7</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烟缸</w:t>
            </w:r>
          </w:p>
        </w:tc>
        <w:tc>
          <w:tcPr>
            <w:tcW w:w="3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3.5寸烟缸</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瑶枝玉兰</w:t>
            </w:r>
          </w:p>
        </w:tc>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件</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50</w:t>
            </w: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2347"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747395</wp:posOffset>
                  </wp:positionH>
                  <wp:positionV relativeFrom="paragraph">
                    <wp:posOffset>128270</wp:posOffset>
                  </wp:positionV>
                  <wp:extent cx="632460" cy="559435"/>
                  <wp:effectExtent l="0" t="0" r="15240" b="12065"/>
                  <wp:wrapNone/>
                  <wp:docPr id="4" name="Picture_3"/>
                  <wp:cNvGraphicFramePr/>
                  <a:graphic xmlns:a="http://schemas.openxmlformats.org/drawingml/2006/main">
                    <a:graphicData uri="http://schemas.openxmlformats.org/drawingml/2006/picture">
                      <pic:pic xmlns:pic="http://schemas.openxmlformats.org/drawingml/2006/picture">
                        <pic:nvPicPr>
                          <pic:cNvPr id="4" name="Picture_3"/>
                          <pic:cNvPicPr/>
                        </pic:nvPicPr>
                        <pic:blipFill>
                          <a:blip r:embed="rId15"/>
                          <a:stretch>
                            <a:fillRect/>
                          </a:stretch>
                        </pic:blipFill>
                        <pic:spPr>
                          <a:xfrm>
                            <a:off x="0" y="0"/>
                            <a:ext cx="632460" cy="559435"/>
                          </a:xfrm>
                          <a:prstGeom prst="rect">
                            <a:avLst/>
                          </a:prstGeom>
                          <a:noFill/>
                          <a:ln>
                            <a:noFill/>
                          </a:ln>
                        </pic:spPr>
                      </pic:pic>
                    </a:graphicData>
                  </a:graphic>
                </wp:anchor>
              </w:drawing>
            </w:r>
            <w:r>
              <w:rPr>
                <w:rFonts w:hint="eastAsia" w:ascii="等线" w:hAnsi="等线" w:eastAsia="等线" w:cs="等线"/>
                <w:i w:val="0"/>
                <w:iCs w:val="0"/>
                <w:color w:val="auto"/>
                <w:kern w:val="0"/>
                <w:sz w:val="18"/>
                <w:szCs w:val="18"/>
                <w:highlight w:val="none"/>
                <w:u w:val="none"/>
                <w:bdr w:val="single" w:color="000000" w:sz="4" w:space="0"/>
                <w:lang w:val="en-US" w:eastAsia="zh-CN" w:bidi="ar"/>
              </w:rPr>
              <w:drawing>
                <wp:inline distT="0" distB="0" distL="114300" distR="114300">
                  <wp:extent cx="737870" cy="666115"/>
                  <wp:effectExtent l="0" t="0" r="5080" b="635"/>
                  <wp:docPr id="10" name="图片 10" descr="16448210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644821097(1)"/>
                          <pic:cNvPicPr>
                            <a:picLocks noChangeAspect="1"/>
                          </pic:cNvPicPr>
                        </pic:nvPicPr>
                        <pic:blipFill>
                          <a:blip r:embed="rId16"/>
                          <a:stretch>
                            <a:fillRect/>
                          </a:stretch>
                        </pic:blipFill>
                        <pic:spPr>
                          <a:xfrm>
                            <a:off x="0" y="0"/>
                            <a:ext cx="737870" cy="66611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825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合    计：</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 xml:space="preserve"> </w:t>
            </w:r>
          </w:p>
        </w:tc>
        <w:tc>
          <w:tcPr>
            <w:tcW w:w="23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等线" w:hAnsi="等线" w:eastAsia="等线" w:cs="等线"/>
                <w:i w:val="0"/>
                <w:iCs w:val="0"/>
                <w:color w:val="auto"/>
                <w:sz w:val="18"/>
                <w:szCs w:val="18"/>
                <w:highlight w:val="none"/>
                <w:u w:val="none"/>
              </w:rPr>
            </w:pPr>
          </w:p>
        </w:tc>
      </w:tr>
    </w:tbl>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（二）产品材质要求</w:t>
      </w:r>
    </w:p>
    <w:p>
      <w:pPr>
        <w:spacing w:line="360" w:lineRule="auto"/>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1.以上产品花面为人工手绘；</w:t>
      </w:r>
    </w:p>
    <w:p>
      <w:pPr>
        <w:spacing w:line="360" w:lineRule="auto"/>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2.以上产品材质为骨质瓷。</w:t>
      </w:r>
    </w:p>
    <w:p>
      <w:pPr>
        <w:spacing w:line="360" w:lineRule="auto"/>
        <w:ind w:firstLine="560" w:firstLineChars="200"/>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3.以上产品样式、图案、尺寸均为参考，但整体风格相似。</w:t>
      </w:r>
    </w:p>
    <w:p>
      <w:pPr>
        <w:spacing w:line="360" w:lineRule="auto"/>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（三）其他要求</w:t>
      </w:r>
    </w:p>
    <w:p>
      <w:pPr>
        <w:spacing w:line="360" w:lineRule="auto"/>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1.产品在近两年内继续生产，或在2年内如招标方需求以上产品（或中标产品），可按照</w:t>
      </w:r>
      <w:r>
        <w:rPr>
          <w:rFonts w:hint="default" w:ascii="仿宋_GB2312" w:hAnsi="仿宋_GB2312" w:eastAsia="仿宋_GB2312" w:cs="仿宋_GB2312"/>
          <w:color w:val="auto"/>
          <w:sz w:val="28"/>
          <w:szCs w:val="28"/>
          <w:highlight w:val="none"/>
          <w:lang w:val="en-US" w:eastAsia="zh-CN"/>
        </w:rPr>
        <w:t>不高于</w:t>
      </w:r>
      <w:r>
        <w:rPr>
          <w:rFonts w:hint="eastAsia" w:ascii="仿宋_GB2312" w:hAnsi="仿宋_GB2312" w:eastAsia="仿宋_GB2312" w:cs="仿宋_GB2312"/>
          <w:color w:val="auto"/>
          <w:sz w:val="28"/>
          <w:szCs w:val="28"/>
          <w:highlight w:val="none"/>
          <w:lang w:val="en-US" w:eastAsia="zh-CN"/>
        </w:rPr>
        <w:t>中标价继续提供货物；</w:t>
      </w:r>
    </w:p>
    <w:p>
      <w:pPr>
        <w:spacing w:line="360" w:lineRule="auto"/>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2.运输过程中需对货物进行保护，防止出现破损、裂痕等现象。同时，货物满足疫情期间国家相关规定。</w:t>
      </w:r>
    </w:p>
    <w:p>
      <w:pPr>
        <w:pStyle w:val="2"/>
        <w:ind w:firstLine="56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3.运输过程中，因质量问题损坏，则由中标人自行按照破损进行更换。</w:t>
      </w:r>
    </w:p>
    <w:p>
      <w:pPr>
        <w:pStyle w:val="2"/>
        <w:ind w:firstLine="56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4.验收时，供货方提供相关检测证明。</w:t>
      </w:r>
    </w:p>
    <w:p>
      <w:pPr>
        <w:pStyle w:val="2"/>
        <w:ind w:firstLine="560"/>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5.该产品试用</w:t>
      </w:r>
      <w:r>
        <w:rPr>
          <w:rFonts w:hint="eastAsia" w:ascii="仿宋_GB2312" w:hAnsi="仿宋_GB2312" w:eastAsia="仿宋_GB2312" w:cs="仿宋_GB2312"/>
          <w:b/>
          <w:bCs/>
          <w:color w:val="auto"/>
          <w:sz w:val="36"/>
          <w:szCs w:val="36"/>
          <w:highlight w:val="none"/>
          <w:lang w:val="en-US" w:eastAsia="zh-CN"/>
        </w:rPr>
        <w:t>一个月，</w:t>
      </w:r>
      <w:r>
        <w:rPr>
          <w:rFonts w:hint="eastAsia" w:ascii="仿宋_GB2312" w:hAnsi="仿宋_GB2312" w:eastAsia="仿宋_GB2312" w:cs="仿宋_GB2312"/>
          <w:color w:val="auto"/>
          <w:sz w:val="28"/>
          <w:szCs w:val="28"/>
          <w:highlight w:val="none"/>
          <w:lang w:val="en-US" w:eastAsia="zh-CN"/>
        </w:rPr>
        <w:t>试用期间因质量问题出现掉瓷，掉杨等情况，招标方有权进行退货，并不承担运费等相关费用。</w:t>
      </w:r>
    </w:p>
    <w:p>
      <w:pPr>
        <w:pStyle w:val="2"/>
        <w:ind w:firstLine="560"/>
        <w:rPr>
          <w:rFonts w:hint="default" w:ascii="仿宋_GB2312" w:hAnsi="仿宋_GB2312" w:eastAsia="仿宋_GB2312" w:cs="仿宋_GB2312"/>
          <w:color w:val="auto"/>
          <w:sz w:val="28"/>
          <w:szCs w:val="28"/>
          <w:highlight w:val="none"/>
          <w:lang w:val="en-US" w:eastAsia="zh-CN"/>
        </w:rPr>
      </w:pPr>
    </w:p>
    <w:p>
      <w:pPr>
        <w:pStyle w:val="2"/>
        <w:ind w:firstLine="560"/>
        <w:rPr>
          <w:rFonts w:hint="default" w:ascii="仿宋_GB2312" w:hAnsi="仿宋_GB2312" w:eastAsia="仿宋_GB2312" w:cs="仿宋_GB2312"/>
          <w:color w:val="auto"/>
          <w:sz w:val="28"/>
          <w:szCs w:val="28"/>
          <w:highlight w:val="none"/>
          <w:lang w:val="en-US" w:eastAsia="zh-CN"/>
        </w:rPr>
      </w:pPr>
    </w:p>
    <w:p>
      <w:pPr>
        <w:pStyle w:val="2"/>
        <w:ind w:firstLine="560"/>
        <w:rPr>
          <w:rFonts w:hint="default" w:ascii="仿宋_GB2312" w:hAnsi="仿宋_GB2312" w:eastAsia="仿宋_GB2312" w:cs="仿宋_GB2312"/>
          <w:color w:val="auto"/>
          <w:sz w:val="28"/>
          <w:szCs w:val="28"/>
          <w:highlight w:val="none"/>
          <w:lang w:val="en-US" w:eastAsia="zh-CN"/>
        </w:rPr>
      </w:pPr>
    </w:p>
    <w:p>
      <w:pPr>
        <w:pStyle w:val="2"/>
        <w:ind w:firstLine="560"/>
        <w:rPr>
          <w:rFonts w:hint="default" w:ascii="仿宋_GB2312" w:hAnsi="仿宋_GB2312" w:eastAsia="仿宋_GB2312" w:cs="仿宋_GB2312"/>
          <w:color w:val="auto"/>
          <w:sz w:val="28"/>
          <w:szCs w:val="28"/>
          <w:highlight w:val="none"/>
          <w:lang w:val="en-US" w:eastAsia="zh-CN"/>
        </w:rPr>
      </w:pPr>
    </w:p>
    <w:p>
      <w:pPr>
        <w:rPr>
          <w:rFonts w:hint="eastAsia" w:ascii="仿宋" w:hAnsi="仿宋" w:eastAsia="仿宋"/>
          <w:color w:val="auto"/>
          <w:highlight w:val="none"/>
          <w:lang w:eastAsia="zh-CN"/>
        </w:rPr>
      </w:pPr>
      <w:r>
        <w:rPr>
          <w:rFonts w:hint="eastAsia" w:ascii="仿宋" w:hAnsi="仿宋" w:eastAsia="仿宋"/>
          <w:color w:val="auto"/>
          <w:highlight w:val="none"/>
          <w:lang w:val="en-US" w:eastAsia="zh-CN"/>
        </w:rPr>
        <w:t xml:space="preserve">     </w:t>
      </w:r>
    </w:p>
    <w:p>
      <w:pPr>
        <w:pStyle w:val="3"/>
        <w:spacing w:line="360" w:lineRule="auto"/>
        <w:rPr>
          <w:rFonts w:ascii="仿宋" w:hAnsi="仿宋" w:eastAsia="仿宋"/>
          <w:color w:val="auto"/>
          <w:highlight w:val="none"/>
        </w:rPr>
      </w:pPr>
      <w:bookmarkStart w:id="12" w:name="_Toc5011"/>
      <w:r>
        <w:rPr>
          <w:rFonts w:hint="eastAsia" w:ascii="仿宋" w:hAnsi="仿宋" w:eastAsia="仿宋"/>
          <w:color w:val="auto"/>
          <w:highlight w:val="none"/>
        </w:rPr>
        <w:t>第三章 投标人须知</w:t>
      </w:r>
      <w:bookmarkEnd w:id="12"/>
    </w:p>
    <w:p>
      <w:pPr>
        <w:pStyle w:val="4"/>
        <w:spacing w:line="360" w:lineRule="auto"/>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    </w:t>
      </w:r>
      <w:bookmarkStart w:id="13" w:name="_Toc30158"/>
      <w:r>
        <w:rPr>
          <w:rFonts w:hint="eastAsia" w:ascii="仿宋" w:hAnsi="仿宋" w:eastAsia="仿宋"/>
          <w:color w:val="auto"/>
          <w:sz w:val="28"/>
          <w:szCs w:val="28"/>
          <w:highlight w:val="none"/>
        </w:rPr>
        <w:t>一、供应商资格要求</w:t>
      </w:r>
      <w:bookmarkEnd w:id="13"/>
    </w:p>
    <w:p>
      <w:pPr>
        <w:pStyle w:val="5"/>
        <w:spacing w:line="360" w:lineRule="auto"/>
        <w:ind w:firstLine="560" w:firstLineChars="200"/>
        <w:rPr>
          <w:rFonts w:ascii="仿宋" w:hAnsi="仿宋" w:eastAsia="仿宋"/>
          <w:color w:val="auto"/>
          <w:kern w:val="2"/>
          <w:sz w:val="28"/>
          <w:szCs w:val="28"/>
          <w:highlight w:val="none"/>
        </w:rPr>
      </w:pPr>
      <w:r>
        <w:rPr>
          <w:rFonts w:hint="eastAsia" w:ascii="仿宋" w:hAnsi="仿宋" w:eastAsia="仿宋"/>
          <w:color w:val="auto"/>
          <w:kern w:val="2"/>
          <w:sz w:val="28"/>
          <w:szCs w:val="28"/>
          <w:highlight w:val="none"/>
        </w:rPr>
        <w:t>（一）供应商应符合《中华人民共和国政府采购法》第二十二条规定的条件；</w:t>
      </w:r>
    </w:p>
    <w:p>
      <w:pPr>
        <w:spacing w:line="360" w:lineRule="auto"/>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（二）具有</w:t>
      </w:r>
      <w:r>
        <w:rPr>
          <w:rFonts w:hint="eastAsia" w:ascii="仿宋" w:hAnsi="仿宋" w:eastAsia="仿宋"/>
          <w:color w:val="auto"/>
          <w:sz w:val="28"/>
          <w:szCs w:val="28"/>
          <w:highlight w:val="none"/>
          <w:lang w:val="en-US" w:eastAsia="zh-CN"/>
        </w:rPr>
        <w:t>瓷器制作及销售相关营业范围</w:t>
      </w:r>
      <w:r>
        <w:rPr>
          <w:rFonts w:hint="eastAsia" w:ascii="仿宋" w:hAnsi="仿宋" w:eastAsia="仿宋"/>
          <w:color w:val="auto"/>
          <w:sz w:val="28"/>
          <w:szCs w:val="28"/>
          <w:highlight w:val="none"/>
        </w:rPr>
        <w:t>。</w:t>
      </w:r>
    </w:p>
    <w:p>
      <w:pPr>
        <w:pStyle w:val="4"/>
        <w:spacing w:line="360" w:lineRule="auto"/>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    </w:t>
      </w:r>
      <w:bookmarkStart w:id="14" w:name="_Toc1316"/>
      <w:r>
        <w:rPr>
          <w:rFonts w:hint="eastAsia" w:ascii="仿宋" w:hAnsi="仿宋" w:eastAsia="仿宋"/>
          <w:color w:val="auto"/>
          <w:sz w:val="28"/>
          <w:szCs w:val="28"/>
          <w:highlight w:val="none"/>
        </w:rPr>
        <w:t>二、响应文件的构成</w:t>
      </w:r>
      <w:bookmarkEnd w:id="14"/>
    </w:p>
    <w:p>
      <w:pPr>
        <w:pStyle w:val="5"/>
        <w:adjustRightInd w:val="0"/>
        <w:snapToGrid w:val="0"/>
        <w:spacing w:line="360" w:lineRule="auto"/>
        <w:ind w:firstLine="560" w:firstLineChars="200"/>
        <w:rPr>
          <w:rFonts w:ascii="仿宋" w:hAnsi="仿宋" w:eastAsia="仿宋"/>
          <w:bCs/>
          <w:color w:val="auto"/>
          <w:sz w:val="28"/>
          <w:szCs w:val="28"/>
          <w:highlight w:val="none"/>
        </w:rPr>
      </w:pPr>
      <w:r>
        <w:rPr>
          <w:rFonts w:hint="eastAsia" w:ascii="仿宋" w:hAnsi="仿宋" w:eastAsia="仿宋"/>
          <w:bCs/>
          <w:color w:val="auto"/>
          <w:sz w:val="28"/>
          <w:szCs w:val="28"/>
          <w:highlight w:val="none"/>
        </w:rPr>
        <w:t>供应商编制的响应文件应包括但不少于下列内容：</w:t>
      </w:r>
    </w:p>
    <w:p>
      <w:pPr>
        <w:pStyle w:val="40"/>
        <w:spacing w:line="360" w:lineRule="auto"/>
        <w:ind w:firstLine="450"/>
        <w:rPr>
          <w:rFonts w:hint="eastAsia" w:ascii="仿宋" w:hAnsi="仿宋" w:eastAsia="仿宋" w:cs="宋体"/>
          <w:color w:val="auto"/>
          <w:kern w:val="2"/>
          <w:sz w:val="28"/>
          <w:szCs w:val="28"/>
          <w:highlight w:val="none"/>
          <w:lang w:val="en-US" w:eastAsia="zh-CN" w:bidi="ar-SA"/>
        </w:rPr>
      </w:pPr>
      <w:r>
        <w:rPr>
          <w:rFonts w:hint="eastAsia" w:ascii="仿宋" w:hAnsi="仿宋" w:eastAsia="仿宋" w:cs="宋体"/>
          <w:color w:val="auto"/>
          <w:kern w:val="2"/>
          <w:sz w:val="28"/>
          <w:szCs w:val="28"/>
          <w:highlight w:val="none"/>
          <w:lang w:val="en-US" w:eastAsia="zh-CN" w:bidi="ar-SA"/>
        </w:rPr>
        <w:t>1.提供企业营业执照（副本）、组织机构代码证、税务登记证（副本），三证合一则为一个。</w:t>
      </w:r>
    </w:p>
    <w:p>
      <w:pPr>
        <w:pStyle w:val="40"/>
        <w:spacing w:line="360" w:lineRule="auto"/>
        <w:ind w:firstLine="450"/>
        <w:rPr>
          <w:rFonts w:hint="eastAsia" w:ascii="仿宋" w:hAnsi="仿宋" w:eastAsia="仿宋" w:cs="宋体"/>
          <w:color w:val="auto"/>
          <w:kern w:val="2"/>
          <w:sz w:val="28"/>
          <w:szCs w:val="28"/>
          <w:highlight w:val="none"/>
          <w:lang w:val="en-US" w:eastAsia="zh-CN" w:bidi="ar-SA"/>
        </w:rPr>
      </w:pPr>
      <w:r>
        <w:rPr>
          <w:rFonts w:hint="eastAsia" w:ascii="仿宋" w:hAnsi="仿宋" w:eastAsia="仿宋" w:cs="宋体"/>
          <w:color w:val="auto"/>
          <w:kern w:val="2"/>
          <w:sz w:val="28"/>
          <w:szCs w:val="28"/>
          <w:highlight w:val="none"/>
          <w:lang w:val="en-US" w:eastAsia="zh-CN" w:bidi="ar-SA"/>
        </w:rPr>
        <w:t>2.产品最终报价表，报价货物详细技术参数。</w:t>
      </w:r>
    </w:p>
    <w:p>
      <w:pPr>
        <w:pStyle w:val="40"/>
        <w:spacing w:line="360" w:lineRule="auto"/>
        <w:ind w:firstLine="450"/>
        <w:rPr>
          <w:rFonts w:hint="eastAsia" w:ascii="仿宋" w:hAnsi="仿宋" w:eastAsia="仿宋" w:cs="宋体"/>
          <w:color w:val="auto"/>
          <w:kern w:val="2"/>
          <w:sz w:val="28"/>
          <w:szCs w:val="28"/>
          <w:highlight w:val="none"/>
          <w:lang w:val="en-US" w:eastAsia="zh-CN" w:bidi="ar-SA"/>
        </w:rPr>
      </w:pPr>
      <w:r>
        <w:rPr>
          <w:rFonts w:hint="eastAsia" w:ascii="仿宋" w:hAnsi="仿宋" w:eastAsia="仿宋" w:cs="宋体"/>
          <w:color w:val="auto"/>
          <w:kern w:val="2"/>
          <w:sz w:val="28"/>
          <w:szCs w:val="28"/>
          <w:highlight w:val="none"/>
          <w:lang w:val="en-US" w:eastAsia="zh-CN" w:bidi="ar-SA"/>
        </w:rPr>
        <w:t>3.公司对公账号。</w:t>
      </w:r>
    </w:p>
    <w:p>
      <w:pPr>
        <w:pStyle w:val="40"/>
        <w:spacing w:line="360" w:lineRule="auto"/>
        <w:ind w:firstLine="450"/>
        <w:rPr>
          <w:rFonts w:hint="eastAsia" w:ascii="仿宋" w:hAnsi="仿宋" w:eastAsia="仿宋" w:cs="宋体"/>
          <w:color w:val="auto"/>
          <w:kern w:val="2"/>
          <w:sz w:val="28"/>
          <w:szCs w:val="28"/>
          <w:highlight w:val="none"/>
          <w:lang w:val="en-US" w:eastAsia="zh-CN" w:bidi="ar-SA"/>
        </w:rPr>
      </w:pPr>
      <w:r>
        <w:rPr>
          <w:rFonts w:hint="eastAsia" w:ascii="仿宋" w:hAnsi="仿宋" w:eastAsia="仿宋" w:cs="宋体"/>
          <w:color w:val="auto"/>
          <w:kern w:val="2"/>
          <w:sz w:val="28"/>
          <w:szCs w:val="28"/>
          <w:highlight w:val="none"/>
          <w:lang w:val="en-US" w:eastAsia="zh-CN" w:bidi="ar-SA"/>
        </w:rPr>
        <w:t>4.售后服务承诺：含售后服务地点、网点，租摆服务方案，养护服务方案，服务响应及解决问题时限等。</w:t>
      </w:r>
    </w:p>
    <w:p>
      <w:pPr>
        <w:pStyle w:val="40"/>
        <w:spacing w:line="360" w:lineRule="auto"/>
        <w:ind w:firstLine="450"/>
        <w:rPr>
          <w:rFonts w:hint="eastAsia" w:ascii="仿宋" w:hAnsi="仿宋" w:eastAsia="仿宋" w:cs="宋体"/>
          <w:color w:val="auto"/>
          <w:kern w:val="2"/>
          <w:sz w:val="28"/>
          <w:szCs w:val="28"/>
          <w:highlight w:val="none"/>
          <w:lang w:val="en-US" w:eastAsia="zh-CN" w:bidi="ar-SA"/>
        </w:rPr>
      </w:pPr>
      <w:r>
        <w:rPr>
          <w:rFonts w:hint="eastAsia" w:ascii="仿宋" w:hAnsi="仿宋" w:eastAsia="仿宋" w:cs="宋体"/>
          <w:color w:val="auto"/>
          <w:kern w:val="2"/>
          <w:sz w:val="28"/>
          <w:szCs w:val="28"/>
          <w:highlight w:val="none"/>
          <w:lang w:val="en-US" w:eastAsia="zh-CN" w:bidi="ar-SA"/>
        </w:rPr>
        <w:t>5.业绩证明（近3年同类产品业绩证明，中标通知书或合同。价格及公章需清晰可见）。</w:t>
      </w:r>
    </w:p>
    <w:p>
      <w:pPr>
        <w:pStyle w:val="40"/>
        <w:spacing w:line="360" w:lineRule="auto"/>
        <w:ind w:firstLine="450"/>
        <w:rPr>
          <w:rFonts w:hint="eastAsia" w:ascii="仿宋" w:hAnsi="仿宋" w:eastAsia="仿宋" w:cs="宋体"/>
          <w:color w:val="auto"/>
          <w:kern w:val="2"/>
          <w:sz w:val="28"/>
          <w:szCs w:val="28"/>
          <w:highlight w:val="none"/>
          <w:lang w:val="en-US" w:eastAsia="zh-CN" w:bidi="ar-SA"/>
        </w:rPr>
      </w:pPr>
      <w:r>
        <w:rPr>
          <w:rFonts w:hint="eastAsia" w:ascii="仿宋" w:hAnsi="仿宋" w:eastAsia="仿宋" w:cs="宋体"/>
          <w:color w:val="auto"/>
          <w:kern w:val="2"/>
          <w:sz w:val="28"/>
          <w:szCs w:val="28"/>
          <w:highlight w:val="none"/>
          <w:lang w:val="en-US" w:eastAsia="zh-CN" w:bidi="ar-SA"/>
        </w:rPr>
        <w:t>6.其他产品质量保证等佐证材料。</w:t>
      </w:r>
    </w:p>
    <w:p>
      <w:pPr>
        <w:pStyle w:val="40"/>
        <w:spacing w:line="360" w:lineRule="auto"/>
        <w:ind w:firstLine="450"/>
        <w:rPr>
          <w:rFonts w:hint="eastAsia" w:ascii="仿宋" w:hAnsi="仿宋" w:eastAsia="仿宋" w:cs="宋体"/>
          <w:color w:val="auto"/>
          <w:kern w:val="2"/>
          <w:sz w:val="28"/>
          <w:szCs w:val="28"/>
          <w:highlight w:val="none"/>
          <w:lang w:val="en-US" w:eastAsia="zh-CN" w:bidi="ar-SA"/>
        </w:rPr>
      </w:pPr>
      <w:r>
        <w:rPr>
          <w:rFonts w:hint="eastAsia" w:ascii="仿宋" w:hAnsi="仿宋" w:eastAsia="仿宋" w:cs="宋体"/>
          <w:color w:val="auto"/>
          <w:kern w:val="2"/>
          <w:sz w:val="28"/>
          <w:szCs w:val="28"/>
          <w:highlight w:val="none"/>
          <w:lang w:val="en-US" w:eastAsia="zh-CN" w:bidi="ar-SA"/>
        </w:rPr>
        <w:t>7.招标文件响应程度（填写优于、满足、不满足）。</w:t>
      </w:r>
    </w:p>
    <w:p>
      <w:pPr>
        <w:pStyle w:val="5"/>
        <w:spacing w:line="360" w:lineRule="auto"/>
        <w:ind w:firstLine="560" w:firstLineChars="200"/>
        <w:rPr>
          <w:rFonts w:hint="eastAsia" w:ascii="仿宋" w:hAnsi="仿宋" w:eastAsia="仿宋" w:cs="宋体"/>
          <w:color w:val="auto"/>
          <w:kern w:val="2"/>
          <w:sz w:val="28"/>
          <w:szCs w:val="28"/>
          <w:highlight w:val="none"/>
          <w:lang w:val="en-US" w:eastAsia="zh-CN" w:bidi="ar-SA"/>
        </w:rPr>
      </w:pPr>
      <w:r>
        <w:rPr>
          <w:rFonts w:hint="eastAsia" w:ascii="仿宋" w:hAnsi="仿宋" w:eastAsia="仿宋" w:cs="宋体"/>
          <w:color w:val="auto"/>
          <w:kern w:val="2"/>
          <w:sz w:val="28"/>
          <w:szCs w:val="28"/>
          <w:highlight w:val="none"/>
          <w:lang w:val="en-US" w:eastAsia="zh-CN" w:bidi="ar-SA"/>
        </w:rPr>
        <w:t>以上文件均需装订成册，响应文件需递交正本1份，副本3份，PDF格式电子文档1份(u盘)；以上资料需签字、盖章的必须由法定代表人或经其授权的代表签字，并加盖公章密封。响应文件在封面必须清楚地标明“正本”或“副本”字样。若副本与正本不符，以正本为准。法定代表人或经其授权的代表需核对身份证，请携带身份证原件。响应文件及资料无论供应商是否中标均不予退还。</w:t>
      </w:r>
    </w:p>
    <w:p>
      <w:pPr>
        <w:pStyle w:val="4"/>
        <w:spacing w:line="360" w:lineRule="auto"/>
        <w:ind w:firstLine="562" w:firstLineChars="200"/>
        <w:rPr>
          <w:rFonts w:ascii="仿宋" w:hAnsi="仿宋" w:eastAsia="仿宋"/>
          <w:color w:val="auto"/>
          <w:sz w:val="28"/>
          <w:highlight w:val="none"/>
        </w:rPr>
      </w:pPr>
      <w:bookmarkStart w:id="15" w:name="_Toc15041"/>
      <w:r>
        <w:rPr>
          <w:rFonts w:hint="eastAsia" w:ascii="仿宋" w:hAnsi="仿宋" w:eastAsia="仿宋"/>
          <w:color w:val="auto"/>
          <w:sz w:val="28"/>
          <w:highlight w:val="none"/>
        </w:rPr>
        <w:t>三、评标与中标</w:t>
      </w:r>
      <w:bookmarkEnd w:id="15"/>
    </w:p>
    <w:p>
      <w:pPr>
        <w:pStyle w:val="5"/>
        <w:spacing w:line="360" w:lineRule="auto"/>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    （一）成立磋商小组</w:t>
      </w:r>
    </w:p>
    <w:p>
      <w:pPr>
        <w:pStyle w:val="5"/>
        <w:spacing w:line="360" w:lineRule="auto"/>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鄂尔多斯市空港实业有限公司采购管理部门组织成立竞争性磋商小组，小组将按照以下基本程序组织谈判：</w:t>
      </w:r>
    </w:p>
    <w:p>
      <w:pPr>
        <w:snapToGrid w:val="0"/>
        <w:spacing w:line="360" w:lineRule="auto"/>
        <w:ind w:firstLine="610" w:firstLineChars="218"/>
        <w:rPr>
          <w:rFonts w:ascii="仿宋" w:hAnsi="仿宋" w:eastAsia="仿宋"/>
          <w:color w:val="auto"/>
          <w:sz w:val="28"/>
          <w:szCs w:val="28"/>
          <w:highlight w:val="none"/>
        </w:rPr>
      </w:pPr>
      <w:r>
        <w:rPr>
          <w:rFonts w:hint="eastAsia" w:ascii="仿宋" w:hAnsi="仿宋" w:eastAsia="仿宋"/>
          <w:color w:val="auto"/>
          <w:sz w:val="28"/>
          <w:szCs w:val="28"/>
          <w:highlight w:val="none"/>
        </w:rPr>
        <w:t>1、供应商签到；</w:t>
      </w:r>
    </w:p>
    <w:p>
      <w:pPr>
        <w:snapToGrid w:val="0"/>
        <w:spacing w:line="360" w:lineRule="auto"/>
        <w:ind w:firstLine="610" w:firstLineChars="218"/>
        <w:rPr>
          <w:rFonts w:ascii="仿宋" w:hAnsi="仿宋" w:eastAsia="仿宋"/>
          <w:color w:val="auto"/>
          <w:sz w:val="28"/>
          <w:szCs w:val="28"/>
          <w:highlight w:val="none"/>
        </w:rPr>
      </w:pPr>
      <w:r>
        <w:rPr>
          <w:rFonts w:hint="eastAsia" w:ascii="仿宋" w:hAnsi="仿宋" w:eastAsia="仿宋"/>
          <w:color w:val="auto"/>
          <w:sz w:val="28"/>
          <w:szCs w:val="28"/>
          <w:highlight w:val="none"/>
        </w:rPr>
        <w:t>2、供应商资格及响应文件初审；</w:t>
      </w:r>
    </w:p>
    <w:p>
      <w:pPr>
        <w:snapToGrid w:val="0"/>
        <w:spacing w:line="360" w:lineRule="auto"/>
        <w:ind w:firstLine="610" w:firstLineChars="218"/>
        <w:rPr>
          <w:rFonts w:ascii="仿宋" w:hAnsi="仿宋" w:eastAsia="仿宋"/>
          <w:color w:val="auto"/>
          <w:sz w:val="28"/>
          <w:szCs w:val="28"/>
          <w:highlight w:val="none"/>
        </w:rPr>
      </w:pPr>
      <w:r>
        <w:rPr>
          <w:rFonts w:hint="eastAsia" w:ascii="仿宋" w:hAnsi="仿宋" w:eastAsia="仿宋"/>
          <w:color w:val="auto"/>
          <w:sz w:val="28"/>
          <w:szCs w:val="28"/>
          <w:highlight w:val="none"/>
        </w:rPr>
        <w:t>3、与供应商针对报价及相关服务等内容依次进行项目谈判；</w:t>
      </w:r>
    </w:p>
    <w:p>
      <w:pPr>
        <w:snapToGrid w:val="0"/>
        <w:spacing w:line="360" w:lineRule="auto"/>
        <w:ind w:firstLine="610" w:firstLineChars="218"/>
        <w:rPr>
          <w:rFonts w:ascii="仿宋" w:hAnsi="仿宋" w:eastAsia="仿宋"/>
          <w:color w:val="auto"/>
          <w:sz w:val="28"/>
          <w:szCs w:val="28"/>
          <w:highlight w:val="none"/>
        </w:rPr>
      </w:pPr>
      <w:r>
        <w:rPr>
          <w:rFonts w:hint="eastAsia" w:ascii="仿宋" w:hAnsi="仿宋" w:eastAsia="仿宋"/>
          <w:color w:val="auto"/>
          <w:sz w:val="28"/>
          <w:szCs w:val="28"/>
          <w:highlight w:val="none"/>
        </w:rPr>
        <w:t>4、根据谈判内容详细审查并评判；</w:t>
      </w:r>
    </w:p>
    <w:p>
      <w:pPr>
        <w:snapToGrid w:val="0"/>
        <w:spacing w:line="360" w:lineRule="auto"/>
        <w:ind w:firstLine="610" w:firstLineChars="218"/>
        <w:rPr>
          <w:rFonts w:ascii="仿宋" w:hAnsi="仿宋" w:eastAsia="仿宋"/>
          <w:color w:val="auto"/>
          <w:sz w:val="28"/>
          <w:szCs w:val="28"/>
          <w:highlight w:val="none"/>
        </w:rPr>
      </w:pPr>
      <w:r>
        <w:rPr>
          <w:rFonts w:hint="eastAsia" w:ascii="仿宋" w:hAnsi="仿宋" w:eastAsia="仿宋"/>
          <w:color w:val="auto"/>
          <w:sz w:val="28"/>
          <w:szCs w:val="28"/>
          <w:highlight w:val="none"/>
        </w:rPr>
        <w:t>5、根据整体情况推荐并确定中标候选人。</w:t>
      </w:r>
    </w:p>
    <w:p>
      <w:pPr>
        <w:pStyle w:val="5"/>
        <w:spacing w:line="360" w:lineRule="auto"/>
        <w:ind w:firstLine="562" w:firstLineChars="200"/>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（二）</w:t>
      </w:r>
      <w:r>
        <w:rPr>
          <w:rFonts w:hint="eastAsia" w:ascii="仿宋_GB2312" w:hAnsi="仿宋_GB2312" w:eastAsia="仿宋_GB2312" w:cs="仿宋_GB2312"/>
          <w:b/>
          <w:bCs/>
          <w:color w:val="auto"/>
          <w:sz w:val="28"/>
          <w:szCs w:val="28"/>
          <w:highlight w:val="none"/>
          <w:lang w:val="en-US" w:eastAsia="zh-CN"/>
        </w:rPr>
        <w:t>评标</w:t>
      </w:r>
      <w:r>
        <w:rPr>
          <w:rFonts w:hint="eastAsia" w:ascii="仿宋_GB2312" w:hAnsi="仿宋_GB2312" w:eastAsia="仿宋_GB2312" w:cs="仿宋_GB2312"/>
          <w:b/>
          <w:bCs/>
          <w:color w:val="auto"/>
          <w:sz w:val="28"/>
          <w:szCs w:val="28"/>
          <w:highlight w:val="none"/>
        </w:rPr>
        <w:t>与评标</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鄂尔多斯市空港实业有限公司采购管理部门组织成立竞争性磋商小组，小组将按照以下基本程序组织磋商：</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1.公布递交响应文件投标人名称。监督人员在磋商现场检查响应文件的密封情况，响应文件的密封情况经确认无误后，工作人员当众拆封。</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2.磋商小组从供应商递交的响应性文件的有效性、完整性和对竞争性磋商文件的响应程度进行审查。经审查，递交响应文件供应商法定代表或其委托授权人身份与响应文件不符的；或未按照竞争性磋商文件规定装订、密封、签署、盖章的，按无效投标处理。</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3.磋商与报价</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A.磋商</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磋商小组对投标文件响应情况、报价比例、企业资质与业绩、执行合同能力等方面进行全面比较与评价，了解和掌握各实质性响应供应商的响应程度，做好磋商准备。</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磋商小组通过投标人抽签的顺序确定参加磋商投标人的磋商顺序，所有磋商小组成员集体与每位投标人分别进行单独磋商，磋商轮次由小组成员视情况而定。</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B.报价</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每一个磋商轮次进行一次报价，报价以书面形式须由法定代表人或其授权人签字确认后送交磋商小组。</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4. 评标办法与确定成交供应商</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 xml:space="preserve">（1）在满足竞争性磋商文件全部内容的基础上，磋商小组按照综合评分法，根据报价情况由低到高排列供应商顺序并推荐中标候选人，报价相同时，业绩多者优先。 </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2）在磋商结束后，按照磋商小组推荐的中标候选人顺序确定排序第一的投标人为成交供应商，如成交供应商拒绝与采购人签订合同，或签订合同后无法履约的，磋商小组可以取消该供应商的中标资格，按顺序由排在其次的成交候选供应商递补，以此类推。</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（3）评分细则</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1.价格权重70%</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1最低投标报价（不含税）为基准价，投标报价得分=（基础价÷投标报价（不含税））×70%×100。</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2.商务及技术权重30%</w:t>
      </w:r>
    </w:p>
    <w:tbl>
      <w:tblPr>
        <w:tblStyle w:val="11"/>
        <w:tblW w:w="525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2"/>
        <w:gridCol w:w="1389"/>
        <w:gridCol w:w="7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60" w:type="pct"/>
            <w:noWrap w:val="0"/>
            <w:vAlign w:val="center"/>
          </w:tcPr>
          <w:p>
            <w:pPr>
              <w:pStyle w:val="40"/>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评分权重</w:t>
            </w:r>
          </w:p>
        </w:tc>
        <w:tc>
          <w:tcPr>
            <w:tcW w:w="663" w:type="pct"/>
            <w:noWrap w:val="0"/>
            <w:vAlign w:val="center"/>
          </w:tcPr>
          <w:p>
            <w:pPr>
              <w:pStyle w:val="40"/>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评审因素</w:t>
            </w:r>
          </w:p>
        </w:tc>
        <w:tc>
          <w:tcPr>
            <w:tcW w:w="3675" w:type="pct"/>
            <w:noWrap w:val="0"/>
            <w:vAlign w:val="center"/>
          </w:tcPr>
          <w:p>
            <w:pPr>
              <w:pStyle w:val="40"/>
              <w:spacing w:line="240" w:lineRule="auto"/>
              <w:jc w:val="center"/>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660" w:type="pct"/>
            <w:noWrap w:val="0"/>
            <w:vAlign w:val="center"/>
          </w:tcPr>
          <w:p>
            <w:pPr>
              <w:pStyle w:val="40"/>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商务部分</w:t>
            </w:r>
          </w:p>
          <w:p>
            <w:pPr>
              <w:pStyle w:val="40"/>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（6分）</w:t>
            </w:r>
          </w:p>
        </w:tc>
        <w:tc>
          <w:tcPr>
            <w:tcW w:w="663" w:type="pct"/>
            <w:noWrap w:val="0"/>
            <w:vAlign w:val="center"/>
          </w:tcPr>
          <w:p>
            <w:pPr>
              <w:pStyle w:val="40"/>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同类业绩（6分）</w:t>
            </w:r>
          </w:p>
        </w:tc>
        <w:tc>
          <w:tcPr>
            <w:tcW w:w="3675" w:type="pct"/>
            <w:noWrap w:val="0"/>
            <w:vAlign w:val="center"/>
          </w:tcPr>
          <w:p>
            <w:pPr>
              <w:pStyle w:val="40"/>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投标人提供近三年同类业绩合同及中标通知书等有效合同文件；</w:t>
            </w:r>
          </w:p>
          <w:p>
            <w:pPr>
              <w:pStyle w:val="40"/>
              <w:numPr>
                <w:ilvl w:val="0"/>
                <w:numId w:val="1"/>
              </w:numPr>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合同金额大于15万，每提供一份完整且有效合同得3分；</w:t>
            </w:r>
          </w:p>
          <w:p>
            <w:pPr>
              <w:pStyle w:val="40"/>
              <w:numPr>
                <w:ilvl w:val="0"/>
                <w:numId w:val="1"/>
              </w:numPr>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合同金额10-15（含）万，每提供一份完整且有效合同得2分；</w:t>
            </w:r>
          </w:p>
          <w:p>
            <w:pPr>
              <w:pStyle w:val="40"/>
              <w:numPr>
                <w:ilvl w:val="0"/>
                <w:numId w:val="1"/>
              </w:numPr>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合同金额小于10万，每提供一份完整且有效合同得1分。</w:t>
            </w:r>
          </w:p>
          <w:p>
            <w:pPr>
              <w:pStyle w:val="40"/>
              <w:numPr>
                <w:ilvl w:val="0"/>
                <w:numId w:val="0"/>
              </w:numPr>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本项目满分6分。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660" w:type="pct"/>
            <w:vMerge w:val="restart"/>
            <w:noWrap w:val="0"/>
            <w:vAlign w:val="center"/>
          </w:tcPr>
          <w:p>
            <w:pPr>
              <w:pStyle w:val="40"/>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技术部分</w:t>
            </w:r>
          </w:p>
          <w:p>
            <w:pPr>
              <w:pStyle w:val="40"/>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（24分）</w:t>
            </w:r>
          </w:p>
        </w:tc>
        <w:tc>
          <w:tcPr>
            <w:tcW w:w="663" w:type="pct"/>
            <w:noWrap w:val="0"/>
            <w:vAlign w:val="center"/>
          </w:tcPr>
          <w:p>
            <w:pPr>
              <w:pStyle w:val="40"/>
              <w:spacing w:line="240" w:lineRule="auto"/>
              <w:jc w:val="center"/>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样品质量（10分）</w:t>
            </w:r>
          </w:p>
        </w:tc>
        <w:tc>
          <w:tcPr>
            <w:tcW w:w="3675" w:type="pct"/>
            <w:noWrap w:val="0"/>
            <w:vAlign w:val="center"/>
          </w:tcPr>
          <w:p>
            <w:pPr>
              <w:pStyle w:val="40"/>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根据招标需求，现场提供样品，并对样品质量进行评价。</w:t>
            </w:r>
          </w:p>
          <w:p>
            <w:pPr>
              <w:pStyle w:val="40"/>
              <w:numPr>
                <w:ilvl w:val="0"/>
                <w:numId w:val="2"/>
              </w:numPr>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提供样品质量优于招标需求，且提供相关检测证明，得8-10分；</w:t>
            </w:r>
          </w:p>
          <w:p>
            <w:pPr>
              <w:pStyle w:val="40"/>
              <w:numPr>
                <w:ilvl w:val="0"/>
                <w:numId w:val="2"/>
              </w:numPr>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提供样品质量满足招标需求，且提供相关检测证明，得5-7分；</w:t>
            </w:r>
          </w:p>
          <w:p>
            <w:pPr>
              <w:pStyle w:val="40"/>
              <w:numPr>
                <w:ilvl w:val="0"/>
                <w:numId w:val="2"/>
              </w:numPr>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提供样品质量基本满足需求，且无相关检测证明，得4-5分；</w:t>
            </w:r>
          </w:p>
          <w:p>
            <w:pPr>
              <w:pStyle w:val="40"/>
              <w:numPr>
                <w:ilvl w:val="0"/>
                <w:numId w:val="2"/>
              </w:numPr>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未提供样品，但提供相关检测证明，得2-3分。</w:t>
            </w:r>
          </w:p>
          <w:p>
            <w:pPr>
              <w:pStyle w:val="40"/>
              <w:numPr>
                <w:ilvl w:val="0"/>
                <w:numId w:val="2"/>
              </w:numPr>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未提供样品及检测报告，不得分。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660" w:type="pct"/>
            <w:vMerge w:val="continue"/>
            <w:noWrap w:val="0"/>
            <w:vAlign w:val="center"/>
          </w:tcPr>
          <w:p>
            <w:pPr>
              <w:pStyle w:val="40"/>
              <w:spacing w:line="240" w:lineRule="auto"/>
              <w:ind w:firstLine="480" w:firstLineChars="200"/>
              <w:rPr>
                <w:rFonts w:hint="eastAsia" w:ascii="仿宋" w:hAnsi="仿宋" w:eastAsia="仿宋" w:cs="Calibri"/>
                <w:color w:val="auto"/>
                <w:kern w:val="2"/>
                <w:sz w:val="24"/>
                <w:szCs w:val="24"/>
                <w:highlight w:val="none"/>
                <w:lang w:val="en-US" w:eastAsia="zh-CN" w:bidi="ar-SA"/>
              </w:rPr>
            </w:pPr>
          </w:p>
        </w:tc>
        <w:tc>
          <w:tcPr>
            <w:tcW w:w="663" w:type="pct"/>
            <w:noWrap w:val="0"/>
            <w:vAlign w:val="center"/>
          </w:tcPr>
          <w:p>
            <w:pPr>
              <w:pStyle w:val="40"/>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质保延期（6分）</w:t>
            </w:r>
          </w:p>
        </w:tc>
        <w:tc>
          <w:tcPr>
            <w:tcW w:w="3675" w:type="pct"/>
            <w:shd w:val="clear" w:color="auto" w:fill="auto"/>
            <w:noWrap w:val="0"/>
            <w:vAlign w:val="center"/>
          </w:tcPr>
          <w:p>
            <w:pPr>
              <w:pStyle w:val="40"/>
              <w:numPr>
                <w:ilvl w:val="0"/>
                <w:numId w:val="0"/>
              </w:numPr>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根据提供货物质量，提供额外的质保服务。</w:t>
            </w:r>
          </w:p>
          <w:p>
            <w:pPr>
              <w:pStyle w:val="40"/>
              <w:numPr>
                <w:ilvl w:val="0"/>
                <w:numId w:val="3"/>
              </w:numPr>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提供1年质保，得2分；</w:t>
            </w:r>
          </w:p>
          <w:p>
            <w:pPr>
              <w:pStyle w:val="40"/>
              <w:numPr>
                <w:ilvl w:val="0"/>
                <w:numId w:val="3"/>
              </w:numPr>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提供1.5年质保，得4分；</w:t>
            </w:r>
          </w:p>
          <w:p>
            <w:pPr>
              <w:pStyle w:val="40"/>
              <w:numPr>
                <w:ilvl w:val="0"/>
                <w:numId w:val="3"/>
              </w:numPr>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提供2年质保，得6分。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660" w:type="pct"/>
            <w:vMerge w:val="continue"/>
            <w:noWrap w:val="0"/>
            <w:vAlign w:val="center"/>
          </w:tcPr>
          <w:p>
            <w:pPr>
              <w:pStyle w:val="40"/>
              <w:spacing w:line="240" w:lineRule="auto"/>
              <w:ind w:firstLine="480" w:firstLineChars="200"/>
              <w:rPr>
                <w:rFonts w:hint="eastAsia" w:ascii="仿宋" w:hAnsi="仿宋" w:eastAsia="仿宋" w:cs="Calibri"/>
                <w:color w:val="auto"/>
                <w:kern w:val="2"/>
                <w:sz w:val="24"/>
                <w:szCs w:val="24"/>
                <w:highlight w:val="none"/>
                <w:lang w:val="en-US" w:eastAsia="zh-CN" w:bidi="ar-SA"/>
              </w:rPr>
            </w:pPr>
          </w:p>
        </w:tc>
        <w:tc>
          <w:tcPr>
            <w:tcW w:w="663" w:type="pct"/>
            <w:noWrap w:val="0"/>
            <w:vAlign w:val="center"/>
          </w:tcPr>
          <w:p>
            <w:pPr>
              <w:pStyle w:val="40"/>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增值方服务（4分）</w:t>
            </w:r>
          </w:p>
        </w:tc>
        <w:tc>
          <w:tcPr>
            <w:tcW w:w="3675" w:type="pct"/>
            <w:shd w:val="clear" w:color="auto" w:fill="auto"/>
            <w:noWrap w:val="0"/>
            <w:vAlign w:val="center"/>
          </w:tcPr>
          <w:p>
            <w:pPr>
              <w:pStyle w:val="40"/>
              <w:numPr>
                <w:ilvl w:val="0"/>
                <w:numId w:val="0"/>
              </w:numPr>
              <w:spacing w:line="240" w:lineRule="auto"/>
              <w:ind w:left="0" w:leftChars="0" w:firstLine="0" w:firstLineChars="0"/>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2.根据本项目，提供额外数量或其他配套物品的，得4分。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0" w:type="pct"/>
            <w:vMerge w:val="continue"/>
            <w:noWrap w:val="0"/>
            <w:vAlign w:val="center"/>
          </w:tcPr>
          <w:p>
            <w:pPr>
              <w:pStyle w:val="40"/>
              <w:spacing w:line="240" w:lineRule="auto"/>
              <w:ind w:firstLine="480" w:firstLineChars="200"/>
              <w:rPr>
                <w:rFonts w:hint="eastAsia" w:ascii="仿宋" w:hAnsi="仿宋" w:eastAsia="仿宋" w:cs="Calibri"/>
                <w:color w:val="auto"/>
                <w:kern w:val="2"/>
                <w:sz w:val="24"/>
                <w:szCs w:val="24"/>
                <w:highlight w:val="none"/>
                <w:lang w:val="en-US" w:eastAsia="zh-CN" w:bidi="ar-SA"/>
              </w:rPr>
            </w:pPr>
          </w:p>
        </w:tc>
        <w:tc>
          <w:tcPr>
            <w:tcW w:w="663" w:type="pct"/>
            <w:noWrap w:val="0"/>
            <w:vAlign w:val="center"/>
          </w:tcPr>
          <w:p>
            <w:pPr>
              <w:pStyle w:val="40"/>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定制要求（3分）</w:t>
            </w:r>
          </w:p>
        </w:tc>
        <w:tc>
          <w:tcPr>
            <w:tcW w:w="3675" w:type="pct"/>
            <w:noWrap w:val="0"/>
            <w:vAlign w:val="center"/>
          </w:tcPr>
          <w:p>
            <w:pPr>
              <w:pStyle w:val="40"/>
              <w:numPr>
                <w:ilvl w:val="0"/>
                <w:numId w:val="0"/>
              </w:numPr>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根据本项目要求，可保证5年内所采购物品仍可以按照中标价定制。</w:t>
            </w:r>
          </w:p>
          <w:p>
            <w:pPr>
              <w:pStyle w:val="40"/>
              <w:numPr>
                <w:ilvl w:val="0"/>
                <w:numId w:val="0"/>
              </w:numPr>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1.有承诺，得3分；</w:t>
            </w:r>
          </w:p>
          <w:p>
            <w:pPr>
              <w:pStyle w:val="40"/>
              <w:numPr>
                <w:ilvl w:val="0"/>
                <w:numId w:val="0"/>
              </w:numPr>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2.无承诺，不得分。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660" w:type="pct"/>
            <w:vMerge w:val="continue"/>
            <w:noWrap w:val="0"/>
            <w:vAlign w:val="center"/>
          </w:tcPr>
          <w:p>
            <w:pPr>
              <w:pStyle w:val="40"/>
              <w:spacing w:line="240" w:lineRule="auto"/>
              <w:ind w:firstLine="480" w:firstLineChars="200"/>
              <w:rPr>
                <w:rFonts w:hint="eastAsia" w:ascii="仿宋" w:hAnsi="仿宋" w:eastAsia="仿宋" w:cs="Calibri"/>
                <w:color w:val="auto"/>
                <w:kern w:val="2"/>
                <w:sz w:val="24"/>
                <w:szCs w:val="24"/>
                <w:highlight w:val="none"/>
                <w:lang w:val="en-US" w:eastAsia="zh-CN" w:bidi="ar-SA"/>
              </w:rPr>
            </w:pPr>
          </w:p>
        </w:tc>
        <w:tc>
          <w:tcPr>
            <w:tcW w:w="663" w:type="pct"/>
            <w:noWrap w:val="0"/>
            <w:vAlign w:val="center"/>
          </w:tcPr>
          <w:p>
            <w:pPr>
              <w:pStyle w:val="40"/>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疫情防护措施</w:t>
            </w:r>
          </w:p>
          <w:p>
            <w:pPr>
              <w:pStyle w:val="40"/>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（1分）</w:t>
            </w:r>
          </w:p>
        </w:tc>
        <w:tc>
          <w:tcPr>
            <w:tcW w:w="3675" w:type="pct"/>
            <w:noWrap w:val="0"/>
            <w:vAlign w:val="center"/>
          </w:tcPr>
          <w:p>
            <w:pPr>
              <w:pStyle w:val="40"/>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按照招标养护需求，疫情期间，提供详细疫情防护措施的。</w:t>
            </w:r>
          </w:p>
          <w:p>
            <w:pPr>
              <w:pStyle w:val="40"/>
              <w:numPr>
                <w:ilvl w:val="0"/>
                <w:numId w:val="4"/>
              </w:numPr>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有疫情防护措施，得1分；</w:t>
            </w:r>
          </w:p>
          <w:p>
            <w:pPr>
              <w:pStyle w:val="40"/>
              <w:numPr>
                <w:ilvl w:val="0"/>
                <w:numId w:val="4"/>
              </w:numPr>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无疫情防护措施，不得分。</w:t>
            </w:r>
          </w:p>
        </w:tc>
      </w:tr>
    </w:tbl>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项目中标结果将于2-4个工作日后在鄂尔多斯机场管理集团官网上进行公布，供应商可自行登陆查询，不再另行通知。</w:t>
      </w:r>
    </w:p>
    <w:p>
      <w:pPr>
        <w:pStyle w:val="40"/>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Calibri"/>
          <w:b/>
          <w:bCs/>
          <w:color w:val="auto"/>
          <w:kern w:val="2"/>
          <w:sz w:val="28"/>
          <w:szCs w:val="28"/>
          <w:highlight w:val="none"/>
          <w:lang w:val="en-US" w:eastAsia="zh-CN" w:bidi="ar-SA"/>
        </w:rPr>
      </w:pPr>
      <w:bookmarkStart w:id="16" w:name="_Toc2925"/>
      <w:r>
        <w:rPr>
          <w:rFonts w:hint="eastAsia" w:ascii="仿宋" w:hAnsi="仿宋" w:eastAsia="仿宋" w:cs="Calibri"/>
          <w:b/>
          <w:bCs/>
          <w:color w:val="auto"/>
          <w:kern w:val="2"/>
          <w:sz w:val="28"/>
          <w:szCs w:val="28"/>
          <w:highlight w:val="none"/>
          <w:lang w:val="en-US" w:eastAsia="zh-CN" w:bidi="ar-SA"/>
        </w:rPr>
        <w:t>（四）纪律和监督</w:t>
      </w:r>
      <w:bookmarkEnd w:id="16"/>
    </w:p>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（1）对招标人的纪律要求</w:t>
      </w:r>
    </w:p>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招标人不得泄露招标投标活动中应当保密的情况和资料，不得与投标人串通损害国家利益、社会公共利益或者他人合法权益。</w:t>
      </w:r>
    </w:p>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（2）对投标人的纪律要求</w:t>
      </w:r>
    </w:p>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1.投标人不得相互串通投标或者与招标人串通投标，不得向招标人或者评标委员会成员行贿谋取中标，不得以他人名义投标或者以其他方式弄虚作假骗取中标；</w:t>
      </w:r>
    </w:p>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2.投标人不得以任何方式干扰、影响评标工作，否则取消该投标人投标资格，并加入招标方“投标人黑名单”。</w:t>
      </w:r>
    </w:p>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（3）对评标委员会成员的纪律要求</w:t>
      </w:r>
    </w:p>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各评委不得收受他人的财物或者其他好处，不得向他人透露对投标文件的评审和比较、中标候选人的推荐情况以及评标有关的其他情况。在评标活动中，各评委应当客观、公正地履行职责，遵守职业道德，不得擅离职守，影响评标程序正常进行，不得使用评标原则中没有规定的评审因素和标准进行评标。</w:t>
      </w:r>
    </w:p>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（4）对与评标活动有关的工作人员的纪律要求</w:t>
      </w:r>
    </w:p>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与评标活动有关的工作人员不得收受他人的财物或者其他好处，不得向他人透露对投标文件的评审和比较、中标候选人的推荐情况以及评标有关的其他情况。在评标活动中，与评标活动有关的工作人员不得擅离职守，影响评标程序正常进行。</w:t>
      </w:r>
    </w:p>
    <w:p>
      <w:pPr>
        <w:pStyle w:val="40"/>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Calibri"/>
          <w:b/>
          <w:bCs/>
          <w:color w:val="auto"/>
          <w:kern w:val="2"/>
          <w:sz w:val="28"/>
          <w:szCs w:val="28"/>
          <w:highlight w:val="none"/>
          <w:lang w:val="en-US" w:eastAsia="zh-CN" w:bidi="ar-SA"/>
        </w:rPr>
      </w:pPr>
      <w:bookmarkStart w:id="17" w:name="_Toc1820"/>
      <w:r>
        <w:rPr>
          <w:rFonts w:hint="eastAsia" w:ascii="仿宋" w:hAnsi="仿宋" w:eastAsia="仿宋" w:cs="Calibri"/>
          <w:b/>
          <w:bCs/>
          <w:color w:val="auto"/>
          <w:kern w:val="2"/>
          <w:sz w:val="28"/>
          <w:szCs w:val="28"/>
          <w:highlight w:val="none"/>
          <w:lang w:val="en-US" w:eastAsia="zh-CN" w:bidi="ar-SA"/>
        </w:rPr>
        <w:t>（五）投诉</w:t>
      </w:r>
      <w:bookmarkEnd w:id="17"/>
    </w:p>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（1） 投标人或者其他利害关系人认为招标投标活动不符合法律、行政法规规定的，可以自知道或者应当知道之日起10日内向有关行政监督部门投诉。投诉应当有明确的请求和必要的证明材料。</w:t>
      </w:r>
    </w:p>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2）投标人或者其他利害关系人对招标文件、开标和评标结果提出投诉的，应当在投标截止时间10日前、中标候选人公示期间以书面形式提出，招标人将在收到异议之日起3日内作出答复；作出答复前，将暂停招标投标活动；投标人对开标有异议的，应当在开标现场提出，招标人当场作出答复，并制作记录。</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br w:type="page"/>
      </w:r>
    </w:p>
    <w:p>
      <w:pPr>
        <w:pStyle w:val="3"/>
        <w:spacing w:line="360" w:lineRule="auto"/>
        <w:rPr>
          <w:rFonts w:ascii="仿宋" w:hAnsi="仿宋" w:eastAsia="仿宋"/>
          <w:color w:val="auto"/>
          <w:highlight w:val="none"/>
        </w:rPr>
      </w:pPr>
      <w:bookmarkStart w:id="18" w:name="_Toc7677"/>
      <w:r>
        <w:rPr>
          <w:rFonts w:hint="eastAsia" w:ascii="仿宋" w:hAnsi="仿宋" w:eastAsia="仿宋"/>
          <w:color w:val="auto"/>
          <w:highlight w:val="none"/>
        </w:rPr>
        <w:t>第四章 响应文件格式与要求</w:t>
      </w:r>
      <w:bookmarkEnd w:id="18"/>
    </w:p>
    <w:p>
      <w:pPr>
        <w:pStyle w:val="4"/>
        <w:ind w:firstLine="562" w:firstLineChars="200"/>
        <w:rPr>
          <w:rFonts w:ascii="仿宋" w:hAnsi="仿宋" w:eastAsia="仿宋"/>
          <w:color w:val="auto"/>
          <w:sz w:val="28"/>
          <w:highlight w:val="none"/>
        </w:rPr>
      </w:pPr>
      <w:bookmarkStart w:id="19" w:name="_Toc2950399"/>
      <w:bookmarkStart w:id="20" w:name="_Toc6975"/>
      <w:bookmarkStart w:id="21" w:name="_Toc2950276"/>
      <w:bookmarkStart w:id="22" w:name="_Toc32467"/>
      <w:r>
        <w:rPr>
          <w:rFonts w:hint="eastAsia" w:ascii="仿宋" w:hAnsi="仿宋" w:eastAsia="仿宋"/>
          <w:color w:val="auto"/>
          <w:sz w:val="28"/>
          <w:highlight w:val="none"/>
        </w:rPr>
        <w:t>格式一：</w:t>
      </w:r>
      <w:bookmarkEnd w:id="19"/>
      <w:bookmarkEnd w:id="20"/>
      <w:bookmarkEnd w:id="21"/>
      <w:bookmarkEnd w:id="22"/>
    </w:p>
    <w:p>
      <w:pPr>
        <w:jc w:val="center"/>
        <w:rPr>
          <w:rFonts w:ascii="仿宋" w:hAnsi="仿宋" w:eastAsia="仿宋"/>
          <w:color w:val="auto"/>
          <w:highlight w:val="none"/>
        </w:rPr>
      </w:pPr>
      <w:r>
        <w:rPr>
          <w:rFonts w:hint="eastAsia" w:ascii="仿宋" w:hAnsi="仿宋" w:eastAsia="仿宋"/>
          <w:color w:val="auto"/>
          <w:sz w:val="40"/>
          <w:highlight w:val="none"/>
        </w:rPr>
        <w:t>（相应文件封面）</w:t>
      </w:r>
    </w:p>
    <w:p>
      <w:pPr>
        <w:jc w:val="center"/>
        <w:rPr>
          <w:rFonts w:ascii="仿宋" w:hAnsi="仿宋" w:eastAsia="仿宋"/>
          <w:color w:val="auto"/>
          <w:sz w:val="52"/>
          <w:szCs w:val="52"/>
          <w:highlight w:val="none"/>
        </w:rPr>
      </w:pPr>
      <w:r>
        <w:rPr>
          <w:rFonts w:hint="eastAsia" w:ascii="仿宋" w:hAnsi="仿宋" w:eastAsia="仿宋"/>
          <w:color w:val="auto"/>
          <w:sz w:val="52"/>
          <w:szCs w:val="52"/>
          <w:highlight w:val="none"/>
        </w:rPr>
        <w:t>竞争性磋商响应文件</w:t>
      </w:r>
    </w:p>
    <w:p>
      <w:pPr>
        <w:jc w:val="center"/>
        <w:rPr>
          <w:rFonts w:ascii="仿宋" w:hAnsi="仿宋" w:eastAsia="仿宋"/>
          <w:color w:val="auto"/>
          <w:sz w:val="52"/>
          <w:szCs w:val="52"/>
          <w:highlight w:val="none"/>
        </w:rPr>
      </w:pPr>
      <w:r>
        <w:rPr>
          <w:rFonts w:hint="eastAsia" w:ascii="仿宋" w:hAnsi="仿宋" w:eastAsia="仿宋"/>
          <w:color w:val="auto"/>
          <w:sz w:val="52"/>
          <w:szCs w:val="52"/>
          <w:highlight w:val="none"/>
        </w:rPr>
        <w:t>（正本/副本）</w:t>
      </w:r>
    </w:p>
    <w:p>
      <w:pPr>
        <w:jc w:val="center"/>
        <w:rPr>
          <w:rFonts w:ascii="仿宋" w:hAnsi="仿宋" w:eastAsia="仿宋"/>
          <w:color w:val="auto"/>
          <w:sz w:val="44"/>
          <w:szCs w:val="44"/>
          <w:highlight w:val="none"/>
        </w:rPr>
      </w:pPr>
      <w:r>
        <w:rPr>
          <w:rFonts w:hint="eastAsia" w:ascii="仿宋" w:hAnsi="仿宋" w:eastAsia="仿宋"/>
          <w:color w:val="auto"/>
          <w:sz w:val="44"/>
          <w:szCs w:val="44"/>
          <w:highlight w:val="none"/>
        </w:rPr>
        <w:t>项目名称：</w:t>
      </w:r>
    </w:p>
    <w:p>
      <w:pPr>
        <w:jc w:val="center"/>
        <w:rPr>
          <w:rFonts w:ascii="仿宋" w:hAnsi="仿宋" w:eastAsia="仿宋"/>
          <w:color w:val="auto"/>
          <w:sz w:val="44"/>
          <w:szCs w:val="44"/>
          <w:highlight w:val="none"/>
        </w:rPr>
      </w:pPr>
      <w:r>
        <w:rPr>
          <w:rFonts w:hint="eastAsia" w:ascii="仿宋" w:hAnsi="仿宋" w:eastAsia="仿宋"/>
          <w:color w:val="auto"/>
          <w:sz w:val="44"/>
          <w:szCs w:val="44"/>
          <w:highlight w:val="none"/>
        </w:rPr>
        <w:t>项目编号：</w:t>
      </w:r>
    </w:p>
    <w:p>
      <w:pPr>
        <w:jc w:val="center"/>
        <w:rPr>
          <w:rFonts w:ascii="仿宋" w:hAnsi="仿宋" w:eastAsia="仿宋"/>
          <w:color w:val="auto"/>
          <w:sz w:val="52"/>
          <w:szCs w:val="52"/>
          <w:highlight w:val="none"/>
        </w:rPr>
      </w:pPr>
    </w:p>
    <w:p>
      <w:pPr>
        <w:jc w:val="center"/>
        <w:rPr>
          <w:rFonts w:ascii="仿宋" w:hAnsi="仿宋" w:eastAsia="仿宋"/>
          <w:color w:val="auto"/>
          <w:sz w:val="52"/>
          <w:szCs w:val="52"/>
          <w:highlight w:val="none"/>
        </w:rPr>
      </w:pPr>
    </w:p>
    <w:p>
      <w:pPr>
        <w:jc w:val="center"/>
        <w:rPr>
          <w:rFonts w:ascii="仿宋" w:hAnsi="仿宋" w:eastAsia="仿宋"/>
          <w:color w:val="auto"/>
          <w:sz w:val="52"/>
          <w:szCs w:val="52"/>
          <w:highlight w:val="none"/>
        </w:rPr>
      </w:pPr>
    </w:p>
    <w:p>
      <w:pPr>
        <w:jc w:val="center"/>
        <w:rPr>
          <w:rFonts w:ascii="仿宋" w:hAnsi="仿宋" w:eastAsia="仿宋"/>
          <w:color w:val="auto"/>
          <w:sz w:val="52"/>
          <w:szCs w:val="52"/>
          <w:highlight w:val="none"/>
        </w:rPr>
      </w:pPr>
    </w:p>
    <w:p>
      <w:pPr>
        <w:jc w:val="center"/>
        <w:rPr>
          <w:rFonts w:ascii="仿宋" w:hAnsi="仿宋" w:eastAsia="仿宋"/>
          <w:color w:val="auto"/>
          <w:sz w:val="44"/>
          <w:szCs w:val="44"/>
          <w:highlight w:val="none"/>
        </w:rPr>
      </w:pPr>
      <w:r>
        <w:rPr>
          <w:rFonts w:hint="eastAsia" w:ascii="仿宋" w:hAnsi="仿宋" w:eastAsia="仿宋"/>
          <w:color w:val="auto"/>
          <w:sz w:val="44"/>
          <w:szCs w:val="44"/>
          <w:highlight w:val="none"/>
        </w:rPr>
        <w:t>竞标人名称</w:t>
      </w:r>
    </w:p>
    <w:p>
      <w:pPr>
        <w:jc w:val="center"/>
        <w:rPr>
          <w:rFonts w:ascii="仿宋" w:hAnsi="仿宋" w:eastAsia="仿宋"/>
          <w:color w:val="auto"/>
          <w:sz w:val="44"/>
          <w:szCs w:val="44"/>
          <w:highlight w:val="none"/>
        </w:rPr>
      </w:pPr>
    </w:p>
    <w:p>
      <w:pPr>
        <w:jc w:val="center"/>
        <w:rPr>
          <w:rFonts w:ascii="仿宋" w:hAnsi="仿宋" w:eastAsia="仿宋"/>
          <w:color w:val="auto"/>
          <w:sz w:val="44"/>
          <w:szCs w:val="44"/>
          <w:highlight w:val="none"/>
        </w:rPr>
      </w:pPr>
      <w:r>
        <w:rPr>
          <w:rFonts w:hint="eastAsia" w:ascii="仿宋" w:hAnsi="仿宋" w:eastAsia="仿宋"/>
          <w:color w:val="auto"/>
          <w:sz w:val="44"/>
          <w:szCs w:val="44"/>
          <w:highlight w:val="none"/>
        </w:rPr>
        <w:t>年    月    日</w:t>
      </w: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pStyle w:val="4"/>
        <w:rPr>
          <w:rFonts w:ascii="仿宋" w:hAnsi="仿宋" w:eastAsia="仿宋"/>
          <w:color w:val="auto"/>
          <w:highlight w:val="none"/>
        </w:rPr>
      </w:pPr>
      <w:bookmarkStart w:id="23" w:name="_Toc15220"/>
      <w:bookmarkStart w:id="24" w:name="_Toc21764"/>
      <w:bookmarkStart w:id="25" w:name="_Toc2950400"/>
      <w:bookmarkStart w:id="26" w:name="_Toc2950277"/>
      <w:r>
        <w:rPr>
          <w:rFonts w:hint="eastAsia" w:ascii="仿宋" w:hAnsi="仿宋" w:eastAsia="仿宋"/>
          <w:color w:val="auto"/>
          <w:highlight w:val="none"/>
        </w:rPr>
        <w:t>格式二：</w:t>
      </w:r>
      <w:bookmarkEnd w:id="23"/>
      <w:bookmarkEnd w:id="24"/>
      <w:bookmarkEnd w:id="25"/>
      <w:bookmarkEnd w:id="26"/>
    </w:p>
    <w:p>
      <w:pPr>
        <w:jc w:val="center"/>
        <w:rPr>
          <w:rFonts w:ascii="仿宋" w:hAnsi="仿宋" w:eastAsia="仿宋"/>
          <w:color w:val="auto"/>
          <w:sz w:val="32"/>
          <w:szCs w:val="32"/>
          <w:highlight w:val="none"/>
        </w:rPr>
      </w:pPr>
      <w:r>
        <w:rPr>
          <w:rFonts w:hint="eastAsia" w:ascii="仿宋" w:hAnsi="仿宋" w:eastAsia="仿宋"/>
          <w:color w:val="auto"/>
          <w:sz w:val="32"/>
          <w:szCs w:val="32"/>
          <w:highlight w:val="none"/>
        </w:rPr>
        <w:t>目录</w:t>
      </w:r>
    </w:p>
    <w:p>
      <w:pPr>
        <w:rPr>
          <w:rFonts w:ascii="仿宋" w:hAnsi="仿宋" w:eastAsia="仿宋"/>
          <w:color w:val="auto"/>
          <w:sz w:val="32"/>
          <w:szCs w:val="32"/>
          <w:highlight w:val="none"/>
        </w:rPr>
      </w:pPr>
    </w:p>
    <w:p>
      <w:pPr>
        <w:spacing w:line="480" w:lineRule="exact"/>
        <w:jc w:val="center"/>
        <w:rPr>
          <w:rFonts w:ascii="仿宋" w:hAnsi="仿宋" w:eastAsia="仿宋"/>
          <w:b/>
          <w:color w:val="auto"/>
          <w:sz w:val="28"/>
          <w:szCs w:val="28"/>
          <w:highlight w:val="none"/>
        </w:rPr>
      </w:pPr>
    </w:p>
    <w:p>
      <w:pPr>
        <w:spacing w:line="360" w:lineRule="auto"/>
        <w:rPr>
          <w:rFonts w:ascii="仿宋" w:hAnsi="仿宋" w:eastAsia="仿宋"/>
          <w:color w:val="auto"/>
          <w:sz w:val="28"/>
          <w:szCs w:val="28"/>
          <w:highlight w:val="none"/>
        </w:rPr>
      </w:pPr>
      <w:r>
        <w:rPr>
          <w:rFonts w:hint="eastAsia" w:ascii="仿宋" w:hAnsi="仿宋" w:eastAsia="仿宋"/>
          <w:color w:val="auto"/>
          <w:sz w:val="28"/>
          <w:szCs w:val="28"/>
          <w:highlight w:val="none"/>
        </w:rPr>
        <w:t>一、投标承诺书…………………………………………………………（ ）</w:t>
      </w:r>
    </w:p>
    <w:p>
      <w:pPr>
        <w:spacing w:line="360" w:lineRule="auto"/>
        <w:rPr>
          <w:rFonts w:ascii="仿宋" w:hAnsi="仿宋" w:eastAsia="仿宋"/>
          <w:color w:val="auto"/>
          <w:sz w:val="28"/>
          <w:szCs w:val="28"/>
          <w:highlight w:val="none"/>
        </w:rPr>
      </w:pPr>
      <w:r>
        <w:rPr>
          <w:rFonts w:hint="eastAsia" w:ascii="仿宋" w:hAnsi="仿宋" w:eastAsia="仿宋"/>
          <w:color w:val="auto"/>
          <w:sz w:val="28"/>
          <w:szCs w:val="28"/>
          <w:highlight w:val="none"/>
        </w:rPr>
        <w:t>二、法定代表人授权委托书……………………………………………（ ）</w:t>
      </w:r>
    </w:p>
    <w:p>
      <w:pPr>
        <w:spacing w:line="360" w:lineRule="auto"/>
        <w:rPr>
          <w:rFonts w:ascii="仿宋" w:hAnsi="仿宋" w:eastAsia="仿宋"/>
          <w:color w:val="auto"/>
          <w:sz w:val="28"/>
          <w:szCs w:val="28"/>
          <w:highlight w:val="none"/>
        </w:rPr>
      </w:pPr>
      <w:r>
        <w:rPr>
          <w:rFonts w:hint="eastAsia" w:ascii="仿宋" w:hAnsi="仿宋" w:eastAsia="仿宋"/>
          <w:color w:val="auto"/>
          <w:sz w:val="28"/>
          <w:szCs w:val="28"/>
          <w:highlight w:val="none"/>
        </w:rPr>
        <w:t>三、项目分项报价明细表………………………………………………（ ）</w:t>
      </w:r>
    </w:p>
    <w:p>
      <w:pPr>
        <w:spacing w:line="360" w:lineRule="auto"/>
        <w:rPr>
          <w:rFonts w:ascii="仿宋" w:hAnsi="仿宋" w:eastAsia="仿宋"/>
          <w:color w:val="auto"/>
          <w:sz w:val="28"/>
          <w:szCs w:val="28"/>
          <w:highlight w:val="none"/>
        </w:rPr>
      </w:pPr>
      <w:r>
        <w:rPr>
          <w:rFonts w:hint="eastAsia" w:ascii="仿宋" w:hAnsi="仿宋" w:eastAsia="仿宋"/>
          <w:color w:val="auto"/>
          <w:sz w:val="28"/>
          <w:szCs w:val="28"/>
          <w:highlight w:val="none"/>
        </w:rPr>
        <w:t>四、项目服务方案、承诺和质量保证措施……………………………（ ）</w:t>
      </w:r>
    </w:p>
    <w:p>
      <w:pPr>
        <w:spacing w:line="360" w:lineRule="auto"/>
        <w:rPr>
          <w:rFonts w:ascii="仿宋" w:hAnsi="仿宋" w:eastAsia="仿宋"/>
          <w:color w:val="auto"/>
          <w:sz w:val="28"/>
          <w:szCs w:val="28"/>
          <w:highlight w:val="none"/>
        </w:rPr>
      </w:pPr>
      <w:r>
        <w:rPr>
          <w:rFonts w:hint="eastAsia" w:ascii="仿宋" w:hAnsi="仿宋" w:eastAsia="仿宋"/>
          <w:color w:val="auto"/>
          <w:sz w:val="28"/>
          <w:szCs w:val="28"/>
          <w:highlight w:val="none"/>
        </w:rPr>
        <w:t>五、各类</w:t>
      </w:r>
      <w:r>
        <w:rPr>
          <w:rFonts w:hint="eastAsia" w:ascii="仿宋" w:hAnsi="仿宋" w:eastAsia="仿宋"/>
          <w:color w:val="auto"/>
          <w:sz w:val="28"/>
          <w:szCs w:val="28"/>
          <w:highlight w:val="none"/>
          <w:lang w:val="zh-CN"/>
        </w:rPr>
        <w:t>证明材料</w:t>
      </w:r>
      <w:r>
        <w:rPr>
          <w:rFonts w:hint="eastAsia" w:ascii="仿宋" w:hAnsi="仿宋" w:eastAsia="仿宋"/>
          <w:color w:val="auto"/>
          <w:sz w:val="28"/>
          <w:szCs w:val="28"/>
          <w:highlight w:val="none"/>
        </w:rPr>
        <w:t>………………… ………… ……………………… （ ）</w:t>
      </w:r>
    </w:p>
    <w:p>
      <w:pPr>
        <w:jc w:val="center"/>
        <w:rPr>
          <w:rFonts w:ascii="仿宋" w:hAnsi="仿宋" w:eastAsia="仿宋"/>
          <w:color w:val="auto"/>
          <w:sz w:val="32"/>
          <w:szCs w:val="32"/>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rPr>
          <w:rFonts w:ascii="仿宋" w:hAnsi="仿宋" w:eastAsia="仿宋"/>
          <w:color w:val="auto"/>
          <w:sz w:val="44"/>
          <w:szCs w:val="44"/>
          <w:highlight w:val="none"/>
        </w:rPr>
      </w:pPr>
    </w:p>
    <w:p>
      <w:pPr>
        <w:pStyle w:val="4"/>
        <w:rPr>
          <w:rFonts w:ascii="仿宋" w:hAnsi="仿宋" w:eastAsia="仿宋"/>
          <w:color w:val="auto"/>
          <w:highlight w:val="none"/>
        </w:rPr>
      </w:pPr>
      <w:bookmarkStart w:id="27" w:name="_Toc2950278"/>
      <w:bookmarkStart w:id="28" w:name="_Toc27200"/>
      <w:bookmarkStart w:id="29" w:name="_Toc24516"/>
      <w:bookmarkStart w:id="30" w:name="_Toc2950401"/>
      <w:r>
        <w:rPr>
          <w:rFonts w:hint="eastAsia" w:ascii="仿宋" w:hAnsi="仿宋" w:eastAsia="仿宋"/>
          <w:color w:val="auto"/>
          <w:highlight w:val="none"/>
        </w:rPr>
        <w:t>格式三</w:t>
      </w:r>
      <w:bookmarkEnd w:id="27"/>
      <w:bookmarkEnd w:id="28"/>
      <w:bookmarkEnd w:id="29"/>
      <w:bookmarkEnd w:id="30"/>
    </w:p>
    <w:p>
      <w:pPr>
        <w:jc w:val="center"/>
        <w:rPr>
          <w:rFonts w:ascii="仿宋" w:hAnsi="仿宋" w:eastAsia="仿宋"/>
          <w:bCs/>
          <w:color w:val="auto"/>
          <w:sz w:val="28"/>
          <w:szCs w:val="28"/>
          <w:highlight w:val="none"/>
        </w:rPr>
      </w:pPr>
      <w:r>
        <w:rPr>
          <w:rFonts w:hint="eastAsia" w:ascii="仿宋" w:hAnsi="仿宋" w:eastAsia="仿宋"/>
          <w:bCs/>
          <w:color w:val="auto"/>
          <w:sz w:val="28"/>
          <w:szCs w:val="28"/>
          <w:highlight w:val="none"/>
        </w:rPr>
        <w:t>投标承诺书</w:t>
      </w:r>
    </w:p>
    <w:p>
      <w:pPr>
        <w:spacing w:line="360" w:lineRule="auto"/>
        <w:ind w:firstLine="56" w:firstLineChars="20"/>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鄂尔多斯市空港实业有限公司： </w:t>
      </w:r>
    </w:p>
    <w:p>
      <w:pPr>
        <w:spacing w:line="360" w:lineRule="auto"/>
        <w:ind w:firstLine="616" w:firstLineChars="220"/>
        <w:rPr>
          <w:rFonts w:ascii="仿宋" w:hAnsi="仿宋" w:eastAsia="仿宋"/>
          <w:color w:val="auto"/>
          <w:sz w:val="28"/>
          <w:szCs w:val="28"/>
          <w:highlight w:val="none"/>
        </w:rPr>
      </w:pPr>
      <w:r>
        <w:rPr>
          <w:rFonts w:hint="eastAsia" w:ascii="仿宋" w:hAnsi="仿宋" w:eastAsia="仿宋"/>
          <w:color w:val="auto"/>
          <w:sz w:val="28"/>
          <w:szCs w:val="28"/>
          <w:highlight w:val="none"/>
        </w:rPr>
        <w:t>1.按照已收到的项目编号为</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的</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spacing w:line="360" w:lineRule="auto"/>
        <w:ind w:firstLine="616" w:firstLineChars="220"/>
        <w:rPr>
          <w:rFonts w:ascii="仿宋" w:hAnsi="仿宋" w:eastAsia="仿宋"/>
          <w:color w:val="auto"/>
          <w:sz w:val="28"/>
          <w:szCs w:val="28"/>
          <w:highlight w:val="none"/>
        </w:rPr>
      </w:pPr>
      <w:r>
        <w:rPr>
          <w:rFonts w:hint="eastAsia" w:ascii="仿宋" w:hAnsi="仿宋" w:eastAsia="仿宋"/>
          <w:color w:val="auto"/>
          <w:sz w:val="28"/>
          <w:szCs w:val="28"/>
          <w:highlight w:val="none"/>
        </w:rPr>
        <w:t>2.一旦我方中标，我方保证在合同签订后履行服务内容。</w:t>
      </w:r>
    </w:p>
    <w:p>
      <w:pPr>
        <w:spacing w:line="360" w:lineRule="auto"/>
        <w:ind w:firstLine="57"/>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    3.我方同意所递交的响应文件在“投标须知”规定的投标有效期内有效，在此期间内我方的投标如能中标，我方将受此约束。</w:t>
      </w:r>
    </w:p>
    <w:p>
      <w:pPr>
        <w:spacing w:line="360" w:lineRule="auto"/>
        <w:ind w:firstLine="616" w:firstLineChars="220"/>
        <w:rPr>
          <w:rFonts w:ascii="仿宋" w:hAnsi="仿宋" w:eastAsia="仿宋"/>
          <w:color w:val="auto"/>
          <w:sz w:val="28"/>
          <w:szCs w:val="28"/>
          <w:highlight w:val="none"/>
        </w:rPr>
      </w:pPr>
      <w:r>
        <w:rPr>
          <w:rFonts w:hint="eastAsia" w:ascii="仿宋" w:hAnsi="仿宋" w:eastAsia="仿宋"/>
          <w:color w:val="auto"/>
          <w:sz w:val="28"/>
          <w:szCs w:val="28"/>
          <w:highlight w:val="none"/>
        </w:rPr>
        <w:t>4.我方郑重声明：所提供的响应文件内容全部真实有效。</w:t>
      </w:r>
    </w:p>
    <w:p>
      <w:pPr>
        <w:spacing w:line="360" w:lineRule="auto"/>
        <w:ind w:firstLine="616" w:firstLineChars="220"/>
        <w:rPr>
          <w:rFonts w:ascii="仿宋" w:hAnsi="仿宋" w:eastAsia="仿宋"/>
          <w:color w:val="auto"/>
          <w:sz w:val="28"/>
          <w:szCs w:val="28"/>
          <w:highlight w:val="none"/>
        </w:rPr>
      </w:pPr>
      <w:r>
        <w:rPr>
          <w:rFonts w:hint="eastAsia" w:ascii="仿宋" w:hAnsi="仿宋" w:eastAsia="仿宋"/>
          <w:color w:val="auto"/>
          <w:sz w:val="28"/>
          <w:szCs w:val="28"/>
          <w:highlight w:val="none"/>
        </w:rPr>
        <w:t>5.我方</w:t>
      </w:r>
      <w:r>
        <w:rPr>
          <w:rFonts w:hint="eastAsia" w:ascii="仿宋" w:hAnsi="仿宋" w:eastAsia="仿宋"/>
          <w:color w:val="auto"/>
          <w:kern w:val="0"/>
          <w:sz w:val="28"/>
          <w:szCs w:val="28"/>
          <w:highlight w:val="none"/>
        </w:rPr>
        <w:t>接受招标文件所列须知中关于没收投标保证金的约定。</w:t>
      </w:r>
    </w:p>
    <w:p>
      <w:pPr>
        <w:spacing w:line="360" w:lineRule="auto"/>
        <w:ind w:firstLine="616" w:firstLineChars="220"/>
        <w:rPr>
          <w:rFonts w:ascii="仿宋" w:hAnsi="仿宋" w:eastAsia="仿宋"/>
          <w:color w:val="auto"/>
          <w:sz w:val="28"/>
          <w:szCs w:val="28"/>
          <w:highlight w:val="none"/>
        </w:rPr>
      </w:pPr>
      <w:r>
        <w:rPr>
          <w:rFonts w:hint="eastAsia" w:ascii="仿宋" w:hAnsi="仿宋" w:eastAsia="仿宋"/>
          <w:color w:val="auto"/>
          <w:sz w:val="28"/>
          <w:szCs w:val="28"/>
          <w:highlight w:val="none"/>
        </w:rPr>
        <w:t>6.我方同意提供</w:t>
      </w:r>
      <w:r>
        <w:rPr>
          <w:rFonts w:hint="eastAsia" w:ascii="仿宋" w:hAnsi="仿宋" w:eastAsia="仿宋"/>
          <w:color w:val="auto"/>
          <w:kern w:val="0"/>
          <w:sz w:val="28"/>
          <w:szCs w:val="28"/>
          <w:highlight w:val="none"/>
        </w:rPr>
        <w:t>按照贵方</w:t>
      </w:r>
      <w:r>
        <w:rPr>
          <w:rFonts w:hint="eastAsia" w:ascii="仿宋" w:hAnsi="仿宋" w:eastAsia="仿宋"/>
          <w:color w:val="auto"/>
          <w:sz w:val="28"/>
          <w:szCs w:val="28"/>
          <w:highlight w:val="none"/>
        </w:rPr>
        <w:t>可能另外要求的与其投标有关的任何数据或资料。除非另外达成协议并生效，否则，中标通知书和本响应文件将构成约束双方合同的组成部分。</w:t>
      </w:r>
    </w:p>
    <w:p>
      <w:pPr>
        <w:spacing w:line="450" w:lineRule="exact"/>
        <w:ind w:firstLine="845" w:firstLineChars="302"/>
        <w:rPr>
          <w:rFonts w:ascii="仿宋" w:hAnsi="仿宋" w:eastAsia="仿宋"/>
          <w:color w:val="auto"/>
          <w:kern w:val="0"/>
          <w:sz w:val="28"/>
          <w:szCs w:val="28"/>
          <w:highlight w:val="none"/>
          <w:u w:val="single"/>
        </w:rPr>
      </w:pPr>
      <w:r>
        <w:rPr>
          <w:rFonts w:hint="eastAsia" w:ascii="仿宋" w:hAnsi="仿宋" w:eastAsia="仿宋"/>
          <w:color w:val="auto"/>
          <w:kern w:val="0"/>
          <w:sz w:val="28"/>
          <w:szCs w:val="28"/>
          <w:highlight w:val="none"/>
        </w:rPr>
        <w:t>供应商名称：</w:t>
      </w:r>
    </w:p>
    <w:p>
      <w:pPr>
        <w:autoSpaceDE w:val="0"/>
        <w:autoSpaceDN w:val="0"/>
        <w:adjustRightInd w:val="0"/>
        <w:spacing w:line="450" w:lineRule="exact"/>
        <w:ind w:right="246" w:firstLine="840" w:firstLineChars="300"/>
        <w:rPr>
          <w:rFonts w:ascii="仿宋" w:hAnsi="仿宋" w:eastAsia="仿宋"/>
          <w:color w:val="auto"/>
          <w:sz w:val="28"/>
          <w:szCs w:val="28"/>
          <w:highlight w:val="none"/>
        </w:rPr>
      </w:pPr>
      <w:r>
        <w:rPr>
          <w:rFonts w:hint="eastAsia" w:ascii="仿宋" w:hAnsi="仿宋" w:eastAsia="仿宋"/>
          <w:color w:val="auto"/>
          <w:kern w:val="0"/>
          <w:sz w:val="28"/>
          <w:szCs w:val="28"/>
          <w:highlight w:val="none"/>
        </w:rPr>
        <w:t xml:space="preserve">详细地址：                        </w:t>
      </w:r>
      <w:r>
        <w:rPr>
          <w:rFonts w:hint="eastAsia" w:ascii="仿宋" w:hAnsi="仿宋" w:eastAsia="仿宋"/>
          <w:color w:val="auto"/>
          <w:sz w:val="28"/>
          <w:szCs w:val="28"/>
          <w:highlight w:val="none"/>
        </w:rPr>
        <w:t>邮政编码：</w:t>
      </w:r>
    </w:p>
    <w:p>
      <w:pPr>
        <w:autoSpaceDE w:val="0"/>
        <w:autoSpaceDN w:val="0"/>
        <w:adjustRightInd w:val="0"/>
        <w:spacing w:line="450" w:lineRule="exact"/>
        <w:ind w:right="246" w:firstLine="840" w:firstLineChars="30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电    话：        传    真：      电子函件：</w:t>
      </w:r>
    </w:p>
    <w:p>
      <w:pPr>
        <w:autoSpaceDE w:val="0"/>
        <w:autoSpaceDN w:val="0"/>
        <w:adjustRightInd w:val="0"/>
        <w:spacing w:line="450" w:lineRule="exact"/>
        <w:ind w:right="246" w:firstLine="840" w:firstLineChars="300"/>
        <w:rPr>
          <w:rFonts w:ascii="仿宋" w:hAnsi="仿宋" w:eastAsia="仿宋"/>
          <w:color w:val="auto"/>
          <w:sz w:val="28"/>
          <w:szCs w:val="28"/>
          <w:highlight w:val="none"/>
        </w:rPr>
      </w:pPr>
      <w:r>
        <w:rPr>
          <w:rFonts w:hint="eastAsia" w:ascii="仿宋" w:hAnsi="仿宋" w:eastAsia="仿宋"/>
          <w:color w:val="auto"/>
          <w:sz w:val="28"/>
          <w:szCs w:val="28"/>
          <w:highlight w:val="none"/>
        </w:rPr>
        <w:t>供应商开户银行：                  账号/行号：</w:t>
      </w:r>
    </w:p>
    <w:p>
      <w:pPr>
        <w:adjustRightInd w:val="0"/>
        <w:snapToGrid w:val="0"/>
        <w:spacing w:line="450" w:lineRule="exact"/>
        <w:ind w:firstLine="840" w:firstLineChars="300"/>
        <w:rPr>
          <w:rFonts w:ascii="仿宋" w:hAnsi="仿宋" w:eastAsia="仿宋"/>
          <w:color w:val="auto"/>
          <w:sz w:val="28"/>
          <w:szCs w:val="28"/>
          <w:highlight w:val="none"/>
        </w:rPr>
      </w:pPr>
      <w:r>
        <w:rPr>
          <w:rFonts w:hint="eastAsia" w:ascii="仿宋" w:hAnsi="仿宋" w:eastAsia="仿宋"/>
          <w:color w:val="auto"/>
          <w:sz w:val="28"/>
          <w:szCs w:val="28"/>
          <w:highlight w:val="none"/>
        </w:rPr>
        <w:t>供应商法人签字：</w:t>
      </w:r>
    </w:p>
    <w:p>
      <w:pPr>
        <w:adjustRightInd w:val="0"/>
        <w:snapToGrid w:val="0"/>
        <w:spacing w:line="450" w:lineRule="exact"/>
        <w:ind w:firstLine="840" w:firstLineChars="300"/>
        <w:rPr>
          <w:rFonts w:ascii="仿宋" w:hAnsi="仿宋" w:eastAsia="仿宋"/>
          <w:color w:val="auto"/>
          <w:sz w:val="28"/>
          <w:szCs w:val="28"/>
          <w:highlight w:val="none"/>
          <w:u w:val="single"/>
        </w:rPr>
      </w:pPr>
      <w:r>
        <w:rPr>
          <w:rFonts w:hint="eastAsia" w:ascii="仿宋" w:hAnsi="仿宋" w:eastAsia="仿宋"/>
          <w:color w:val="auto"/>
          <w:sz w:val="28"/>
          <w:szCs w:val="28"/>
          <w:highlight w:val="none"/>
        </w:rPr>
        <w:t>供应商法人授权代表签字：</w:t>
      </w:r>
    </w:p>
    <w:p>
      <w:pPr>
        <w:autoSpaceDE w:val="0"/>
        <w:autoSpaceDN w:val="0"/>
        <w:spacing w:line="450" w:lineRule="exact"/>
        <w:ind w:firstLine="5460" w:firstLineChars="1950"/>
        <w:rPr>
          <w:rFonts w:ascii="仿宋" w:hAnsi="仿宋" w:eastAsia="仿宋"/>
          <w:color w:val="auto"/>
          <w:sz w:val="28"/>
          <w:szCs w:val="28"/>
          <w:highlight w:val="none"/>
        </w:rPr>
      </w:pPr>
      <w:r>
        <w:rPr>
          <w:rFonts w:hint="eastAsia" w:ascii="仿宋" w:hAnsi="仿宋" w:eastAsia="仿宋"/>
          <w:color w:val="auto"/>
          <w:sz w:val="28"/>
          <w:szCs w:val="28"/>
          <w:highlight w:val="none"/>
        </w:rPr>
        <w:t>供应商名称(公章)：</w:t>
      </w:r>
    </w:p>
    <w:p>
      <w:pPr>
        <w:autoSpaceDE w:val="0"/>
        <w:autoSpaceDN w:val="0"/>
        <w:spacing w:line="450" w:lineRule="exact"/>
        <w:ind w:firstLine="6020" w:firstLineChars="2150"/>
        <w:rPr>
          <w:rFonts w:ascii="仿宋" w:hAnsi="仿宋" w:eastAsia="仿宋"/>
          <w:color w:val="auto"/>
          <w:sz w:val="28"/>
          <w:szCs w:val="28"/>
          <w:highlight w:val="none"/>
        </w:rPr>
      </w:pPr>
      <w:r>
        <w:rPr>
          <w:rFonts w:hint="eastAsia" w:ascii="仿宋" w:hAnsi="仿宋" w:eastAsia="仿宋"/>
          <w:color w:val="auto"/>
          <w:sz w:val="28"/>
          <w:szCs w:val="28"/>
          <w:highlight w:val="none"/>
        </w:rPr>
        <w:t>年 月 日</w:t>
      </w:r>
    </w:p>
    <w:p>
      <w:pPr>
        <w:pStyle w:val="4"/>
        <w:rPr>
          <w:rFonts w:ascii="仿宋" w:hAnsi="仿宋" w:eastAsia="仿宋"/>
          <w:color w:val="auto"/>
          <w:highlight w:val="none"/>
        </w:rPr>
      </w:pPr>
      <w:bookmarkStart w:id="31" w:name="_Toc2950402"/>
      <w:bookmarkStart w:id="32" w:name="_Toc29004"/>
      <w:bookmarkStart w:id="33" w:name="_Toc1156"/>
      <w:bookmarkStart w:id="34" w:name="_Toc2950279"/>
      <w:r>
        <w:rPr>
          <w:rFonts w:hint="eastAsia" w:ascii="仿宋" w:hAnsi="仿宋" w:eastAsia="仿宋"/>
          <w:color w:val="auto"/>
          <w:highlight w:val="none"/>
        </w:rPr>
        <w:t>格式四</w:t>
      </w:r>
      <w:bookmarkEnd w:id="31"/>
      <w:bookmarkEnd w:id="32"/>
      <w:bookmarkEnd w:id="33"/>
      <w:bookmarkEnd w:id="34"/>
    </w:p>
    <w:p>
      <w:pPr>
        <w:jc w:val="center"/>
        <w:rPr>
          <w:rFonts w:ascii="仿宋" w:hAnsi="仿宋" w:eastAsia="仿宋"/>
          <w:color w:val="auto"/>
          <w:sz w:val="28"/>
          <w:szCs w:val="28"/>
          <w:highlight w:val="none"/>
        </w:rPr>
      </w:pPr>
      <w:r>
        <w:rPr>
          <w:rFonts w:hint="eastAsia" w:ascii="仿宋" w:hAnsi="仿宋" w:eastAsia="仿宋"/>
          <w:color w:val="auto"/>
          <w:sz w:val="28"/>
          <w:szCs w:val="28"/>
          <w:highlight w:val="none"/>
        </w:rPr>
        <w:t>法定代表人授权委托书</w:t>
      </w:r>
    </w:p>
    <w:p>
      <w:pPr>
        <w:spacing w:line="480" w:lineRule="exact"/>
        <w:ind w:firstLine="840" w:firstLineChars="30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r>
        <w:rPr>
          <w:rFonts w:ascii="仿宋" w:hAnsi="仿宋" w:eastAsia="仿宋"/>
          <w:color w:val="auto"/>
          <w:sz w:val="28"/>
          <w:szCs w:val="28"/>
          <w:highlight w:val="none"/>
        </w:rPr>
        <w:t xml:space="preserve">兹委派我单位 </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（姓名）参加贵单位组织的          </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采购活动（项目编号：</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 w:hAnsi="仿宋" w:eastAsia="仿宋"/>
          <w:color w:val="auto"/>
          <w:sz w:val="28"/>
          <w:szCs w:val="28"/>
          <w:highlight w:val="none"/>
        </w:rPr>
      </w:pPr>
      <w:r>
        <w:rPr>
          <w:rFonts w:ascii="仿宋" w:hAnsi="仿宋" w:eastAsia="仿宋"/>
          <w:color w:val="auto"/>
          <w:sz w:val="28"/>
          <w:szCs w:val="28"/>
          <w:highlight w:val="none"/>
        </w:rPr>
        <w:t>本授权书于签字盖章后生效，在贵</w:t>
      </w:r>
      <w:r>
        <w:rPr>
          <w:rFonts w:hint="eastAsia" w:ascii="仿宋" w:hAnsi="仿宋" w:eastAsia="仿宋"/>
          <w:color w:val="auto"/>
          <w:sz w:val="28"/>
          <w:szCs w:val="28"/>
          <w:highlight w:val="none"/>
        </w:rPr>
        <w:t>公司</w:t>
      </w:r>
      <w:r>
        <w:rPr>
          <w:rFonts w:ascii="仿宋" w:hAnsi="仿宋" w:eastAsia="仿宋"/>
          <w:color w:val="auto"/>
          <w:sz w:val="28"/>
          <w:szCs w:val="28"/>
          <w:highlight w:val="none"/>
        </w:rPr>
        <w:t>收到撤消授权的书面通知以前，本授权书一直有效。被授权人签署的所有文件不因授权的撤消而失效。</w:t>
      </w:r>
    </w:p>
    <w:p>
      <w:pPr>
        <w:spacing w:line="450" w:lineRule="exact"/>
        <w:ind w:firstLine="56" w:firstLineChars="20"/>
        <w:rPr>
          <w:rFonts w:ascii="仿宋" w:hAnsi="仿宋" w:eastAsia="仿宋"/>
          <w:color w:val="auto"/>
          <w:sz w:val="28"/>
          <w:szCs w:val="28"/>
          <w:highlight w:val="none"/>
        </w:rPr>
      </w:pPr>
      <w:r>
        <w:rPr>
          <w:rFonts w:ascii="仿宋" w:hAnsi="仿宋" w:eastAsia="仿宋"/>
          <w:color w:val="auto"/>
          <w:sz w:val="28"/>
          <w:szCs w:val="28"/>
          <w:highlight w:val="none"/>
        </w:rPr>
        <w:t>委托代理人无转委权。</w:t>
      </w:r>
    </w:p>
    <w:p>
      <w:pPr>
        <w:spacing w:line="450" w:lineRule="exact"/>
        <w:ind w:firstLine="56" w:firstLineChars="20"/>
        <w:rPr>
          <w:rFonts w:ascii="仿宋" w:hAnsi="仿宋" w:eastAsia="仿宋"/>
          <w:color w:val="auto"/>
          <w:sz w:val="28"/>
          <w:szCs w:val="28"/>
          <w:highlight w:val="none"/>
        </w:rPr>
      </w:pPr>
      <w:r>
        <w:rPr>
          <w:rFonts w:ascii="仿宋" w:hAnsi="仿宋" w:eastAsia="仿宋"/>
          <w:color w:val="auto"/>
          <w:sz w:val="28"/>
          <w:szCs w:val="28"/>
          <w:highlight w:val="none"/>
        </w:rPr>
        <w:t>特此委托。</w:t>
      </w: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r>
        <w:rPr>
          <w:rFonts w:ascii="仿宋" w:hAnsi="仿宋" w:eastAsia="仿宋"/>
          <w:color w:val="auto"/>
          <w:sz w:val="28"/>
          <w:szCs w:val="28"/>
          <w:highlight w:val="none"/>
        </w:rPr>
        <w:pict>
          <v:shape id="Text Box 2" o:spid="_x0000_s1034" o:spt="202" type="#_x0000_t202" style="position:absolute;left:0pt;margin-left:270pt;margin-top:9.6pt;height:150pt;width:198pt;z-index:251660288;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r>
        <w:rPr>
          <w:rFonts w:ascii="仿宋" w:hAnsi="仿宋" w:eastAsia="仿宋"/>
          <w:color w:val="auto"/>
          <w:sz w:val="28"/>
          <w:szCs w:val="28"/>
          <w:highlight w:val="none"/>
        </w:rPr>
        <w:pict>
          <v:shape id="Text Box 3" o:spid="_x0000_s1033" o:spt="202" type="#_x0000_t202" style="position:absolute;left:0pt;margin-left:-9pt;margin-top:8.6pt;height:150pt;width:207pt;z-index:251659264;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r>
        <w:rPr>
          <w:rFonts w:ascii="仿宋" w:hAnsi="仿宋" w:eastAsia="仿宋"/>
          <w:color w:val="auto"/>
          <w:sz w:val="28"/>
          <w:szCs w:val="28"/>
          <w:highlight w:val="none"/>
        </w:rPr>
        <w:t>竞标人：（公章）</w:t>
      </w: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r>
        <w:rPr>
          <w:rFonts w:ascii="仿宋" w:hAnsi="仿宋" w:eastAsia="仿宋"/>
          <w:color w:val="auto"/>
          <w:sz w:val="28"/>
          <w:szCs w:val="28"/>
          <w:highlight w:val="none"/>
        </w:rPr>
        <w:t>法定代表人：（签字）</w:t>
      </w:r>
    </w:p>
    <w:p>
      <w:pPr>
        <w:spacing w:line="450" w:lineRule="exact"/>
        <w:ind w:firstLine="56" w:firstLineChars="20"/>
        <w:rPr>
          <w:rFonts w:ascii="仿宋" w:hAnsi="仿宋" w:eastAsia="仿宋"/>
          <w:color w:val="auto"/>
          <w:sz w:val="28"/>
          <w:szCs w:val="28"/>
          <w:highlight w:val="none"/>
        </w:rPr>
      </w:pPr>
      <w:r>
        <w:rPr>
          <w:rFonts w:ascii="仿宋" w:hAnsi="仿宋" w:eastAsia="仿宋"/>
          <w:color w:val="auto"/>
          <w:sz w:val="28"/>
          <w:szCs w:val="28"/>
          <w:highlight w:val="none"/>
        </w:rPr>
        <w:t xml:space="preserve">                                   年   月   日</w:t>
      </w:r>
    </w:p>
    <w:p>
      <w:pPr>
        <w:spacing w:line="450" w:lineRule="exact"/>
        <w:ind w:firstLine="56" w:firstLineChars="20"/>
        <w:rPr>
          <w:rFonts w:ascii="仿宋" w:hAnsi="仿宋" w:eastAsia="仿宋"/>
          <w:color w:val="auto"/>
          <w:sz w:val="28"/>
          <w:szCs w:val="28"/>
          <w:highlight w:val="none"/>
        </w:rPr>
      </w:pPr>
    </w:p>
    <w:p>
      <w:pPr>
        <w:rPr>
          <w:rFonts w:ascii="仿宋" w:hAnsi="仿宋" w:eastAsia="仿宋"/>
          <w:color w:val="auto"/>
          <w:sz w:val="28"/>
          <w:szCs w:val="28"/>
          <w:highlight w:val="none"/>
        </w:rPr>
      </w:pPr>
    </w:p>
    <w:p>
      <w:pPr>
        <w:pStyle w:val="4"/>
        <w:rPr>
          <w:rFonts w:ascii="仿宋" w:hAnsi="仿宋" w:eastAsia="仿宋"/>
          <w:color w:val="auto"/>
          <w:highlight w:val="none"/>
        </w:rPr>
      </w:pPr>
      <w:bookmarkStart w:id="35" w:name="_Toc22925"/>
      <w:bookmarkStart w:id="36" w:name="_Toc2950403"/>
      <w:bookmarkStart w:id="37" w:name="_Toc943"/>
      <w:bookmarkStart w:id="38" w:name="_Toc2950280"/>
      <w:r>
        <w:rPr>
          <w:rFonts w:hint="eastAsia" w:ascii="仿宋" w:hAnsi="仿宋" w:eastAsia="仿宋"/>
          <w:color w:val="auto"/>
          <w:highlight w:val="none"/>
        </w:rPr>
        <w:t>格式五</w:t>
      </w:r>
      <w:bookmarkEnd w:id="35"/>
      <w:bookmarkEnd w:id="36"/>
      <w:bookmarkEnd w:id="37"/>
      <w:bookmarkEnd w:id="38"/>
    </w:p>
    <w:p>
      <w:pPr>
        <w:jc w:val="center"/>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投标项目分项报价明细表</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参考</w:t>
      </w:r>
      <w:r>
        <w:rPr>
          <w:rFonts w:hint="eastAsia" w:ascii="仿宋" w:hAnsi="仿宋" w:eastAsia="仿宋"/>
          <w:color w:val="auto"/>
          <w:sz w:val="28"/>
          <w:szCs w:val="28"/>
          <w:highlight w:val="none"/>
          <w:lang w:eastAsia="zh-CN"/>
        </w:rPr>
        <w:t>）</w:t>
      </w:r>
    </w:p>
    <w:p>
      <w:pPr>
        <w:spacing w:line="460" w:lineRule="exact"/>
        <w:jc w:val="center"/>
        <w:rPr>
          <w:rFonts w:ascii="仿宋" w:hAnsi="仿宋" w:eastAsia="仿宋"/>
          <w:b/>
          <w:color w:val="auto"/>
          <w:sz w:val="28"/>
          <w:szCs w:val="28"/>
          <w:highlight w:val="none"/>
        </w:rPr>
      </w:pPr>
    </w:p>
    <w:p>
      <w:pPr>
        <w:rPr>
          <w:rFonts w:ascii="仿宋" w:hAnsi="仿宋" w:eastAsia="仿宋"/>
          <w:color w:val="auto"/>
          <w:sz w:val="28"/>
          <w:szCs w:val="28"/>
          <w:highlight w:val="none"/>
        </w:rPr>
      </w:pPr>
      <w:r>
        <w:rPr>
          <w:rFonts w:hint="eastAsia" w:ascii="仿宋" w:hAnsi="仿宋" w:eastAsia="仿宋"/>
          <w:color w:val="auto"/>
          <w:sz w:val="28"/>
          <w:szCs w:val="28"/>
          <w:highlight w:val="none"/>
        </w:rPr>
        <w:t>项目名称：</w:t>
      </w:r>
    </w:p>
    <w:tbl>
      <w:tblPr>
        <w:tblStyle w:val="11"/>
        <w:tblW w:w="9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2566"/>
        <w:gridCol w:w="1403"/>
        <w:gridCol w:w="1701"/>
        <w:gridCol w:w="1843"/>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hint="default" w:ascii="仿宋" w:hAnsi="仿宋" w:eastAsia="仿宋"/>
                <w:b/>
                <w:color w:val="auto"/>
                <w:sz w:val="28"/>
                <w:szCs w:val="28"/>
                <w:highlight w:val="none"/>
                <w:lang w:val="en-US" w:eastAsia="zh-CN"/>
              </w:rPr>
            </w:pPr>
            <w:r>
              <w:rPr>
                <w:rFonts w:hint="eastAsia" w:ascii="仿宋" w:hAnsi="仿宋" w:eastAsia="仿宋"/>
                <w:b/>
                <w:color w:val="auto"/>
                <w:sz w:val="28"/>
                <w:szCs w:val="28"/>
                <w:highlight w:val="none"/>
                <w:lang w:val="en-US" w:eastAsia="zh-CN"/>
              </w:rPr>
              <w:t>序号</w:t>
            </w:r>
          </w:p>
        </w:tc>
        <w:tc>
          <w:tcPr>
            <w:tcW w:w="2566" w:type="dxa"/>
            <w:vAlign w:val="center"/>
          </w:tcPr>
          <w:p>
            <w:pPr>
              <w:jc w:val="center"/>
              <w:rPr>
                <w:rFonts w:hint="default" w:ascii="仿宋" w:hAnsi="仿宋" w:eastAsia="仿宋"/>
                <w:b/>
                <w:color w:val="auto"/>
                <w:sz w:val="28"/>
                <w:szCs w:val="28"/>
                <w:highlight w:val="none"/>
                <w:lang w:val="en-US" w:eastAsia="zh-CN"/>
              </w:rPr>
            </w:pPr>
            <w:r>
              <w:rPr>
                <w:rFonts w:hint="eastAsia" w:ascii="仿宋" w:hAnsi="仿宋" w:eastAsia="仿宋"/>
                <w:b/>
                <w:color w:val="auto"/>
                <w:sz w:val="28"/>
                <w:szCs w:val="28"/>
                <w:highlight w:val="none"/>
              </w:rPr>
              <w:t>服务项目名称</w:t>
            </w:r>
            <w:r>
              <w:rPr>
                <w:rFonts w:hint="eastAsia" w:ascii="仿宋" w:hAnsi="仿宋" w:eastAsia="仿宋"/>
                <w:b/>
                <w:color w:val="auto"/>
                <w:sz w:val="28"/>
                <w:szCs w:val="28"/>
                <w:highlight w:val="none"/>
                <w:lang w:val="en-US" w:eastAsia="zh-CN"/>
              </w:rPr>
              <w:t>或区域</w:t>
            </w:r>
          </w:p>
        </w:tc>
        <w:tc>
          <w:tcPr>
            <w:tcW w:w="1403" w:type="dxa"/>
            <w:vAlign w:val="center"/>
          </w:tcPr>
          <w:p>
            <w:pPr>
              <w:jc w:val="center"/>
              <w:rPr>
                <w:rFonts w:hint="eastAsia" w:ascii="仿宋" w:hAnsi="仿宋" w:eastAsia="仿宋"/>
                <w:b/>
                <w:color w:val="auto"/>
                <w:sz w:val="28"/>
                <w:szCs w:val="28"/>
                <w:highlight w:val="none"/>
                <w:lang w:eastAsia="zh-CN"/>
              </w:rPr>
            </w:pPr>
            <w:r>
              <w:rPr>
                <w:rFonts w:hint="eastAsia" w:ascii="仿宋" w:hAnsi="仿宋" w:eastAsia="仿宋"/>
                <w:b/>
                <w:color w:val="auto"/>
                <w:sz w:val="28"/>
                <w:szCs w:val="28"/>
                <w:highlight w:val="none"/>
                <w:lang w:val="en-US" w:eastAsia="zh-CN"/>
              </w:rPr>
              <w:t>税率</w:t>
            </w:r>
          </w:p>
        </w:tc>
        <w:tc>
          <w:tcPr>
            <w:tcW w:w="1701" w:type="dxa"/>
            <w:vAlign w:val="center"/>
          </w:tcPr>
          <w:p>
            <w:pPr>
              <w:jc w:val="center"/>
              <w:rPr>
                <w:rFonts w:ascii="仿宋" w:hAnsi="仿宋" w:eastAsia="仿宋"/>
                <w:b/>
                <w:color w:val="auto"/>
                <w:sz w:val="28"/>
                <w:szCs w:val="28"/>
                <w:highlight w:val="none"/>
              </w:rPr>
            </w:pPr>
            <w:r>
              <w:rPr>
                <w:rFonts w:hint="eastAsia" w:ascii="仿宋" w:hAnsi="仿宋" w:eastAsia="仿宋"/>
                <w:b/>
                <w:color w:val="auto"/>
                <w:sz w:val="28"/>
                <w:szCs w:val="28"/>
                <w:highlight w:val="none"/>
                <w:lang w:val="en-US" w:eastAsia="zh-CN"/>
              </w:rPr>
              <w:t>月租摆</w:t>
            </w:r>
            <w:r>
              <w:rPr>
                <w:rFonts w:hint="eastAsia" w:ascii="仿宋" w:hAnsi="仿宋" w:eastAsia="仿宋"/>
                <w:b/>
                <w:color w:val="auto"/>
                <w:sz w:val="28"/>
                <w:szCs w:val="28"/>
                <w:highlight w:val="none"/>
              </w:rPr>
              <w:t>（元）</w:t>
            </w:r>
          </w:p>
        </w:tc>
        <w:tc>
          <w:tcPr>
            <w:tcW w:w="1843" w:type="dxa"/>
            <w:vAlign w:val="center"/>
          </w:tcPr>
          <w:p>
            <w:pPr>
              <w:jc w:val="center"/>
              <w:rPr>
                <w:rFonts w:ascii="仿宋" w:hAnsi="仿宋" w:eastAsia="仿宋"/>
                <w:b/>
                <w:color w:val="auto"/>
                <w:sz w:val="28"/>
                <w:szCs w:val="28"/>
                <w:highlight w:val="none"/>
              </w:rPr>
            </w:pPr>
            <w:r>
              <w:rPr>
                <w:rFonts w:hint="eastAsia" w:ascii="仿宋" w:hAnsi="仿宋" w:eastAsia="仿宋"/>
                <w:b/>
                <w:color w:val="auto"/>
                <w:sz w:val="28"/>
                <w:szCs w:val="28"/>
                <w:highlight w:val="none"/>
                <w:lang w:val="en-US" w:eastAsia="zh-CN"/>
              </w:rPr>
              <w:t>年租摆</w:t>
            </w:r>
            <w:r>
              <w:rPr>
                <w:rFonts w:hint="eastAsia" w:ascii="仿宋" w:hAnsi="仿宋" w:eastAsia="仿宋"/>
                <w:b/>
                <w:color w:val="auto"/>
                <w:sz w:val="28"/>
                <w:szCs w:val="28"/>
                <w:highlight w:val="none"/>
              </w:rPr>
              <w:t>（元）</w:t>
            </w:r>
          </w:p>
        </w:tc>
        <w:tc>
          <w:tcPr>
            <w:tcW w:w="1134" w:type="dxa"/>
            <w:vAlign w:val="center"/>
          </w:tcPr>
          <w:p>
            <w:pPr>
              <w:jc w:val="center"/>
              <w:rPr>
                <w:rFonts w:ascii="仿宋" w:hAnsi="仿宋" w:eastAsia="仿宋"/>
                <w:b/>
                <w:color w:val="auto"/>
                <w:sz w:val="28"/>
                <w:szCs w:val="28"/>
                <w:highlight w:val="none"/>
              </w:rPr>
            </w:pPr>
            <w:r>
              <w:rPr>
                <w:rFonts w:hint="eastAsia" w:ascii="仿宋" w:hAnsi="仿宋" w:eastAsia="仿宋"/>
                <w:b/>
                <w:color w:val="auto"/>
                <w:sz w:val="28"/>
                <w:szCs w:val="2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w:t>
            </w:r>
          </w:p>
        </w:tc>
        <w:tc>
          <w:tcPr>
            <w:tcW w:w="2566" w:type="dxa"/>
            <w:vAlign w:val="center"/>
          </w:tcPr>
          <w:p>
            <w:pPr>
              <w:jc w:val="center"/>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货物名称</w:t>
            </w: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w:t>
            </w:r>
          </w:p>
        </w:tc>
        <w:tc>
          <w:tcPr>
            <w:tcW w:w="2566" w:type="dxa"/>
            <w:vAlign w:val="center"/>
          </w:tcPr>
          <w:p>
            <w:pPr>
              <w:jc w:val="center"/>
              <w:rPr>
                <w:rFonts w:ascii="仿宋" w:hAnsi="仿宋" w:eastAsia="仿宋" w:cs="Calibri"/>
                <w:color w:val="auto"/>
                <w:kern w:val="2"/>
                <w:sz w:val="28"/>
                <w:szCs w:val="28"/>
                <w:highlight w:val="none"/>
                <w:lang w:val="en-US" w:eastAsia="zh-CN" w:bidi="ar-SA"/>
              </w:rPr>
            </w:pPr>
            <w:r>
              <w:rPr>
                <w:rFonts w:hint="eastAsia" w:ascii="仿宋" w:hAnsi="仿宋" w:eastAsia="仿宋"/>
                <w:color w:val="auto"/>
                <w:sz w:val="28"/>
                <w:szCs w:val="28"/>
                <w:highlight w:val="none"/>
              </w:rPr>
              <w:t>其他服务费用</w:t>
            </w: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3</w:t>
            </w:r>
          </w:p>
        </w:tc>
        <w:tc>
          <w:tcPr>
            <w:tcW w:w="2566" w:type="dxa"/>
            <w:vAlign w:val="center"/>
          </w:tcPr>
          <w:p>
            <w:pPr>
              <w:jc w:val="center"/>
              <w:rPr>
                <w:rFonts w:hint="default" w:ascii="仿宋" w:hAnsi="仿宋" w:eastAsia="仿宋" w:cs="Calibri"/>
                <w:color w:val="auto"/>
                <w:kern w:val="2"/>
                <w:sz w:val="28"/>
                <w:szCs w:val="28"/>
                <w:highlight w:val="none"/>
                <w:lang w:val="en-US" w:eastAsia="zh-CN" w:bidi="ar-SA"/>
              </w:rPr>
            </w:pPr>
            <w:r>
              <w:rPr>
                <w:rFonts w:hint="eastAsia" w:ascii="仿宋" w:hAnsi="仿宋" w:eastAsia="仿宋"/>
                <w:color w:val="auto"/>
                <w:sz w:val="28"/>
                <w:szCs w:val="28"/>
                <w:highlight w:val="none"/>
              </w:rPr>
              <w:t>税费</w:t>
            </w: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both"/>
              <w:rPr>
                <w:rFonts w:hint="eastAsia" w:ascii="仿宋" w:hAnsi="仿宋" w:eastAsia="仿宋"/>
                <w:color w:val="auto"/>
                <w:sz w:val="28"/>
                <w:szCs w:val="28"/>
                <w:highlight w:val="none"/>
                <w:lang w:val="en-US" w:eastAsia="zh-CN"/>
              </w:rPr>
            </w:pPr>
          </w:p>
        </w:tc>
        <w:tc>
          <w:tcPr>
            <w:tcW w:w="2566" w:type="dxa"/>
            <w:vAlign w:val="center"/>
          </w:tcPr>
          <w:p>
            <w:pPr>
              <w:jc w:val="both"/>
              <w:rPr>
                <w:rFonts w:hint="default" w:ascii="仿宋" w:hAnsi="仿宋" w:eastAsia="仿宋"/>
                <w:color w:val="auto"/>
                <w:sz w:val="28"/>
                <w:szCs w:val="28"/>
                <w:highlight w:val="none"/>
                <w:lang w:val="en-US" w:eastAsia="zh-CN"/>
              </w:rPr>
            </w:pP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color w:val="auto"/>
                <w:sz w:val="28"/>
                <w:szCs w:val="28"/>
                <w:highlight w:val="none"/>
              </w:rPr>
            </w:pPr>
          </w:p>
        </w:tc>
        <w:tc>
          <w:tcPr>
            <w:tcW w:w="2566" w:type="dxa"/>
            <w:vAlign w:val="center"/>
          </w:tcPr>
          <w:p>
            <w:pPr>
              <w:jc w:val="both"/>
              <w:rPr>
                <w:rFonts w:hint="default" w:ascii="仿宋" w:hAnsi="仿宋" w:eastAsia="仿宋"/>
                <w:color w:val="auto"/>
                <w:sz w:val="28"/>
                <w:szCs w:val="28"/>
                <w:highlight w:val="none"/>
                <w:lang w:val="en-US" w:eastAsia="zh-CN"/>
              </w:rPr>
            </w:pP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color w:val="auto"/>
                <w:sz w:val="28"/>
                <w:szCs w:val="28"/>
                <w:highlight w:val="none"/>
              </w:rPr>
            </w:pPr>
          </w:p>
        </w:tc>
        <w:tc>
          <w:tcPr>
            <w:tcW w:w="2566" w:type="dxa"/>
            <w:vAlign w:val="center"/>
          </w:tcPr>
          <w:p>
            <w:pPr>
              <w:jc w:val="both"/>
              <w:rPr>
                <w:rFonts w:ascii="仿宋" w:hAnsi="仿宋" w:eastAsia="仿宋"/>
                <w:color w:val="auto"/>
                <w:sz w:val="28"/>
                <w:szCs w:val="28"/>
                <w:highlight w:val="none"/>
              </w:rPr>
            </w:pP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color w:val="auto"/>
                <w:sz w:val="28"/>
                <w:szCs w:val="28"/>
                <w:highlight w:val="none"/>
              </w:rPr>
            </w:pPr>
          </w:p>
        </w:tc>
        <w:tc>
          <w:tcPr>
            <w:tcW w:w="2566" w:type="dxa"/>
            <w:vAlign w:val="center"/>
          </w:tcPr>
          <w:p>
            <w:pPr>
              <w:jc w:val="both"/>
              <w:rPr>
                <w:rFonts w:ascii="仿宋" w:hAnsi="仿宋" w:eastAsia="仿宋"/>
                <w:color w:val="auto"/>
                <w:sz w:val="28"/>
                <w:szCs w:val="28"/>
                <w:highlight w:val="none"/>
              </w:rPr>
            </w:pP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color w:val="auto"/>
                <w:sz w:val="28"/>
                <w:szCs w:val="28"/>
                <w:highlight w:val="none"/>
              </w:rPr>
            </w:pPr>
          </w:p>
        </w:tc>
        <w:tc>
          <w:tcPr>
            <w:tcW w:w="2566" w:type="dxa"/>
            <w:vAlign w:val="center"/>
          </w:tcPr>
          <w:p>
            <w:pPr>
              <w:jc w:val="center"/>
              <w:rPr>
                <w:rFonts w:ascii="仿宋" w:hAnsi="仿宋" w:eastAsia="仿宋"/>
                <w:color w:val="auto"/>
                <w:sz w:val="28"/>
                <w:szCs w:val="28"/>
                <w:highlight w:val="none"/>
              </w:rPr>
            </w:pP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color w:val="auto"/>
                <w:sz w:val="28"/>
                <w:szCs w:val="28"/>
                <w:highlight w:val="none"/>
              </w:rPr>
            </w:pPr>
          </w:p>
        </w:tc>
        <w:tc>
          <w:tcPr>
            <w:tcW w:w="2566" w:type="dxa"/>
            <w:vAlign w:val="center"/>
          </w:tcPr>
          <w:p>
            <w:pPr>
              <w:jc w:val="center"/>
              <w:rPr>
                <w:rFonts w:ascii="仿宋" w:hAnsi="仿宋" w:eastAsia="仿宋"/>
                <w:color w:val="auto"/>
                <w:sz w:val="28"/>
                <w:szCs w:val="28"/>
                <w:highlight w:val="none"/>
              </w:rPr>
            </w:pP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color w:val="auto"/>
                <w:sz w:val="28"/>
                <w:szCs w:val="28"/>
                <w:highlight w:val="none"/>
              </w:rPr>
            </w:pPr>
          </w:p>
        </w:tc>
        <w:tc>
          <w:tcPr>
            <w:tcW w:w="2566" w:type="dxa"/>
            <w:vAlign w:val="center"/>
          </w:tcPr>
          <w:p>
            <w:pPr>
              <w:jc w:val="center"/>
              <w:rPr>
                <w:rFonts w:ascii="仿宋" w:hAnsi="仿宋" w:eastAsia="仿宋"/>
                <w:color w:val="auto"/>
                <w:sz w:val="28"/>
                <w:szCs w:val="28"/>
                <w:highlight w:val="none"/>
              </w:rPr>
            </w:pP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color w:val="auto"/>
                <w:sz w:val="28"/>
                <w:szCs w:val="28"/>
                <w:highlight w:val="none"/>
              </w:rPr>
            </w:pPr>
          </w:p>
        </w:tc>
        <w:tc>
          <w:tcPr>
            <w:tcW w:w="2566" w:type="dxa"/>
            <w:vAlign w:val="center"/>
          </w:tcPr>
          <w:p>
            <w:pPr>
              <w:jc w:val="center"/>
              <w:rPr>
                <w:rFonts w:ascii="仿宋" w:hAnsi="仿宋" w:eastAsia="仿宋"/>
                <w:color w:val="auto"/>
                <w:sz w:val="28"/>
                <w:szCs w:val="28"/>
                <w:highlight w:val="none"/>
              </w:rPr>
            </w:pP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color w:val="auto"/>
                <w:sz w:val="28"/>
                <w:szCs w:val="28"/>
                <w:highlight w:val="none"/>
              </w:rPr>
            </w:pPr>
          </w:p>
        </w:tc>
        <w:tc>
          <w:tcPr>
            <w:tcW w:w="2566" w:type="dxa"/>
            <w:vAlign w:val="center"/>
          </w:tcPr>
          <w:p>
            <w:pPr>
              <w:jc w:val="center"/>
              <w:rPr>
                <w:rFonts w:ascii="仿宋" w:hAnsi="仿宋" w:eastAsia="仿宋"/>
                <w:color w:val="auto"/>
                <w:sz w:val="28"/>
                <w:szCs w:val="28"/>
                <w:highlight w:val="none"/>
              </w:rPr>
            </w:pP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bl>
    <w:p>
      <w:pPr>
        <w:adjustRightInd w:val="0"/>
        <w:snapToGrid w:val="0"/>
        <w:spacing w:line="460" w:lineRule="exact"/>
        <w:rPr>
          <w:rFonts w:ascii="仿宋" w:hAnsi="仿宋" w:eastAsia="仿宋"/>
          <w:color w:val="auto"/>
          <w:sz w:val="28"/>
          <w:szCs w:val="28"/>
          <w:highlight w:val="none"/>
        </w:rPr>
      </w:pPr>
      <w:r>
        <w:rPr>
          <w:rFonts w:hint="eastAsia" w:ascii="仿宋" w:hAnsi="仿宋" w:eastAsia="仿宋"/>
          <w:color w:val="auto"/>
          <w:sz w:val="28"/>
          <w:szCs w:val="28"/>
          <w:highlight w:val="none"/>
        </w:rPr>
        <w:t>说明：服务内容及人员配备尽可能详细列出。</w:t>
      </w:r>
    </w:p>
    <w:p>
      <w:pPr>
        <w:pStyle w:val="4"/>
        <w:rPr>
          <w:rFonts w:ascii="仿宋" w:hAnsi="仿宋" w:eastAsia="仿宋"/>
          <w:color w:val="auto"/>
          <w:highlight w:val="none"/>
        </w:rPr>
      </w:pPr>
      <w:bookmarkStart w:id="39" w:name="_Toc2950281"/>
      <w:bookmarkStart w:id="40" w:name="_Toc5749"/>
      <w:bookmarkStart w:id="41" w:name="_Toc2950404"/>
      <w:bookmarkStart w:id="42" w:name="_Toc29608"/>
      <w:bookmarkStart w:id="43" w:name="_Toc359315317"/>
      <w:r>
        <w:rPr>
          <w:rFonts w:hint="eastAsia" w:ascii="仿宋" w:hAnsi="仿宋" w:eastAsia="仿宋"/>
          <w:color w:val="auto"/>
          <w:highlight w:val="none"/>
        </w:rPr>
        <w:t>格式六：</w:t>
      </w:r>
      <w:bookmarkEnd w:id="39"/>
      <w:bookmarkEnd w:id="40"/>
      <w:bookmarkEnd w:id="41"/>
      <w:bookmarkEnd w:id="42"/>
      <w:bookmarkEnd w:id="43"/>
    </w:p>
    <w:p>
      <w:pPr>
        <w:ind w:firstLine="560" w:firstLineChars="200"/>
        <w:jc w:val="center"/>
        <w:rPr>
          <w:rFonts w:ascii="仿宋" w:hAnsi="仿宋" w:eastAsia="仿宋"/>
          <w:color w:val="auto"/>
          <w:sz w:val="28"/>
          <w:szCs w:val="28"/>
          <w:highlight w:val="none"/>
        </w:rPr>
      </w:pPr>
      <w:r>
        <w:rPr>
          <w:rFonts w:hint="eastAsia" w:ascii="仿宋" w:hAnsi="仿宋" w:eastAsia="仿宋"/>
          <w:color w:val="auto"/>
          <w:sz w:val="28"/>
          <w:szCs w:val="28"/>
          <w:highlight w:val="none"/>
        </w:rPr>
        <w:t>项目服务方案、服务承诺和质量保证</w:t>
      </w:r>
    </w:p>
    <w:p>
      <w:pPr>
        <w:autoSpaceDE w:val="0"/>
        <w:autoSpaceDN w:val="0"/>
        <w:spacing w:line="460" w:lineRule="exact"/>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供应商可根据采购文件要求自行编写，服务方案、服务承诺、质量保证尽可能详细、全面，否则有可能影响供应商的得分。</w:t>
      </w:r>
    </w:p>
    <w:p>
      <w:pPr>
        <w:autoSpaceDE w:val="0"/>
        <w:autoSpaceDN w:val="0"/>
        <w:spacing w:line="460" w:lineRule="exact"/>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注:投标人需要注明实施方案及工期。</w:t>
      </w:r>
    </w:p>
    <w:p>
      <w:pPr>
        <w:pStyle w:val="4"/>
        <w:rPr>
          <w:rFonts w:ascii="仿宋" w:hAnsi="仿宋" w:eastAsia="仿宋"/>
          <w:color w:val="auto"/>
          <w:highlight w:val="none"/>
        </w:rPr>
      </w:pPr>
      <w:bookmarkStart w:id="44" w:name="_Toc2950282"/>
      <w:bookmarkStart w:id="45" w:name="_Toc2950405"/>
      <w:bookmarkStart w:id="46" w:name="_Toc28785"/>
      <w:bookmarkStart w:id="47" w:name="_Toc32452"/>
      <w:r>
        <w:rPr>
          <w:rFonts w:hint="eastAsia" w:ascii="仿宋" w:hAnsi="仿宋" w:eastAsia="仿宋"/>
          <w:color w:val="auto"/>
          <w:highlight w:val="none"/>
        </w:rPr>
        <w:t>格式七：</w:t>
      </w:r>
      <w:bookmarkEnd w:id="44"/>
      <w:bookmarkEnd w:id="45"/>
      <w:bookmarkEnd w:id="46"/>
      <w:bookmarkEnd w:id="47"/>
    </w:p>
    <w:p>
      <w:pPr>
        <w:autoSpaceDE w:val="0"/>
        <w:autoSpaceDN w:val="0"/>
        <w:spacing w:line="460" w:lineRule="exact"/>
        <w:ind w:firstLine="560" w:firstLineChars="200"/>
        <w:jc w:val="left"/>
        <w:rPr>
          <w:rFonts w:ascii="仿宋" w:hAnsi="仿宋" w:eastAsia="仿宋"/>
          <w:color w:val="auto"/>
          <w:sz w:val="28"/>
          <w:szCs w:val="28"/>
          <w:highlight w:val="none"/>
        </w:rPr>
      </w:pPr>
      <w:r>
        <w:rPr>
          <w:rFonts w:hint="eastAsia" w:ascii="仿宋" w:hAnsi="仿宋" w:eastAsia="仿宋"/>
          <w:color w:val="auto"/>
          <w:sz w:val="28"/>
          <w:szCs w:val="28"/>
          <w:highlight w:val="none"/>
        </w:rPr>
        <w:t>供应商须在投标文件中提供企业工商注册所在地或项目所在地检察机关出具的《检察机关行贿犯罪档案查询结果告知函》（在有效期范围内）</w:t>
      </w:r>
    </w:p>
    <w:p>
      <w:pPr>
        <w:pStyle w:val="4"/>
        <w:rPr>
          <w:rFonts w:ascii="仿宋" w:hAnsi="仿宋" w:eastAsia="仿宋"/>
          <w:color w:val="auto"/>
          <w:highlight w:val="none"/>
        </w:rPr>
      </w:pPr>
      <w:bookmarkStart w:id="48" w:name="_Toc12201"/>
      <w:bookmarkStart w:id="49" w:name="_Toc2950283"/>
      <w:bookmarkStart w:id="50" w:name="_Toc3517"/>
      <w:bookmarkStart w:id="51" w:name="_Toc2950406"/>
      <w:r>
        <w:rPr>
          <w:rFonts w:hint="eastAsia" w:ascii="仿宋" w:hAnsi="仿宋" w:eastAsia="仿宋"/>
          <w:color w:val="auto"/>
          <w:highlight w:val="none"/>
        </w:rPr>
        <w:t>格式八：</w:t>
      </w:r>
      <w:bookmarkEnd w:id="48"/>
      <w:bookmarkEnd w:id="49"/>
      <w:bookmarkEnd w:id="50"/>
      <w:bookmarkEnd w:id="51"/>
      <w:r>
        <w:rPr>
          <w:rFonts w:ascii="仿宋" w:hAnsi="仿宋" w:eastAsia="仿宋"/>
          <w:color w:val="auto"/>
          <w:highlight w:val="none"/>
        </w:rPr>
        <w:t xml:space="preserve"> </w:t>
      </w:r>
    </w:p>
    <w:p>
      <w:pPr>
        <w:ind w:firstLine="560" w:firstLineChars="200"/>
        <w:jc w:val="left"/>
        <w:rPr>
          <w:rFonts w:ascii="仿宋" w:hAnsi="仿宋" w:eastAsia="仿宋"/>
          <w:b/>
          <w:color w:val="auto"/>
          <w:sz w:val="36"/>
          <w:szCs w:val="36"/>
          <w:highlight w:val="none"/>
        </w:rPr>
      </w:pPr>
      <w:r>
        <w:rPr>
          <w:rFonts w:hint="eastAsia" w:ascii="仿宋" w:hAnsi="仿宋" w:eastAsia="仿宋"/>
          <w:color w:val="auto"/>
          <w:sz w:val="28"/>
          <w:szCs w:val="28"/>
          <w:highlight w:val="none"/>
        </w:rPr>
        <w:t>具有大型绿植租摆服务项目证明材料，其他相关证明材料。</w:t>
      </w:r>
    </w:p>
    <w:p>
      <w:pPr>
        <w:rPr>
          <w:rFonts w:ascii="仿宋" w:hAnsi="仿宋" w:eastAsia="仿宋"/>
          <w:color w:val="auto"/>
          <w:sz w:val="36"/>
          <w:szCs w:val="44"/>
          <w:highlight w:val="none"/>
        </w:rPr>
      </w:pPr>
    </w:p>
    <w:p>
      <w:pPr>
        <w:rPr>
          <w:rFonts w:ascii="仿宋" w:hAnsi="仿宋" w:eastAsia="仿宋"/>
          <w:color w:val="auto"/>
          <w:sz w:val="36"/>
          <w:szCs w:val="44"/>
          <w:highlight w:val="none"/>
        </w:rPr>
      </w:pPr>
    </w:p>
    <w:p>
      <w:pPr>
        <w:rPr>
          <w:rFonts w:ascii="仿宋" w:hAnsi="仿宋" w:eastAsia="仿宋"/>
          <w:color w:val="auto"/>
          <w:sz w:val="36"/>
          <w:szCs w:val="44"/>
          <w:highlight w:val="none"/>
        </w:rPr>
      </w:pPr>
    </w:p>
    <w:p>
      <w:pPr>
        <w:rPr>
          <w:rFonts w:ascii="仿宋" w:hAnsi="仿宋" w:eastAsia="仿宋"/>
          <w:color w:val="auto"/>
          <w:sz w:val="36"/>
          <w:szCs w:val="44"/>
          <w:highlight w:val="none"/>
        </w:rPr>
      </w:pPr>
    </w:p>
    <w:p>
      <w:pPr>
        <w:rPr>
          <w:rFonts w:ascii="仿宋" w:hAnsi="仿宋" w:eastAsia="仿宋"/>
          <w:color w:val="auto"/>
          <w:sz w:val="36"/>
          <w:szCs w:val="44"/>
          <w:highlight w:val="none"/>
        </w:rPr>
      </w:pPr>
    </w:p>
    <w:p>
      <w:pPr>
        <w:rPr>
          <w:rFonts w:ascii="仿宋" w:hAnsi="仿宋" w:eastAsia="仿宋"/>
          <w:color w:val="auto"/>
          <w:sz w:val="36"/>
          <w:szCs w:val="44"/>
          <w:highlight w:val="none"/>
        </w:rPr>
      </w:pPr>
    </w:p>
    <w:p>
      <w:pPr>
        <w:rPr>
          <w:rFonts w:ascii="仿宋" w:hAnsi="仿宋" w:eastAsia="仿宋"/>
          <w:color w:val="auto"/>
          <w:sz w:val="36"/>
          <w:szCs w:val="44"/>
          <w:highlight w:val="none"/>
        </w:rPr>
      </w:pPr>
    </w:p>
    <w:p>
      <w:pPr>
        <w:rPr>
          <w:rFonts w:ascii="仿宋" w:hAnsi="仿宋" w:eastAsia="仿宋"/>
          <w:color w:val="auto"/>
          <w:sz w:val="36"/>
          <w:szCs w:val="44"/>
          <w:highlight w:val="none"/>
        </w:rPr>
      </w:pPr>
    </w:p>
    <w:p>
      <w:pPr>
        <w:rPr>
          <w:rFonts w:ascii="仿宋" w:hAnsi="仿宋" w:eastAsia="仿宋"/>
          <w:color w:val="auto"/>
          <w:sz w:val="36"/>
          <w:szCs w:val="44"/>
          <w:highlight w:val="none"/>
        </w:rPr>
      </w:pPr>
    </w:p>
    <w:p>
      <w:pPr>
        <w:rPr>
          <w:rFonts w:ascii="仿宋" w:hAnsi="仿宋" w:eastAsia="仿宋"/>
          <w:color w:val="auto"/>
          <w:sz w:val="36"/>
          <w:szCs w:val="44"/>
          <w:highlight w:val="none"/>
        </w:rPr>
      </w:pPr>
    </w:p>
    <w:p>
      <w:pPr>
        <w:rPr>
          <w:rFonts w:ascii="仿宋" w:hAnsi="仿宋" w:eastAsia="仿宋"/>
          <w:color w:val="auto"/>
          <w:sz w:val="36"/>
          <w:szCs w:val="44"/>
          <w:highlight w:val="none"/>
        </w:rPr>
      </w:pPr>
    </w:p>
    <w:p>
      <w:pPr>
        <w:rPr>
          <w:rFonts w:ascii="仿宋" w:hAnsi="仿宋" w:eastAsia="仿宋"/>
          <w:color w:val="auto"/>
          <w:sz w:val="36"/>
          <w:szCs w:val="44"/>
          <w:highlight w:val="none"/>
        </w:rPr>
      </w:pPr>
    </w:p>
    <w:p>
      <w:pPr>
        <w:rPr>
          <w:color w:val="auto"/>
          <w:szCs w:val="28"/>
          <w:highlight w:val="none"/>
        </w:rPr>
      </w:pPr>
    </w:p>
    <w:sectPr>
      <w:footerReference r:id="rId3" w:type="default"/>
      <w:pgSz w:w="11906" w:h="16838"/>
      <w:pgMar w:top="1134" w:right="1077" w:bottom="1134" w:left="1077" w:header="851" w:footer="992" w:gutter="0"/>
      <w:pgBorders w:display="firstPage" w:offsetFrom="page">
        <w:top w:val="single" w:color="auto" w:sz="4" w:space="24"/>
        <w:left w:val="single" w:color="auto" w:sz="4" w:space="24"/>
        <w:bottom w:val="single" w:color="auto" w:sz="4" w:space="24"/>
        <w:right w:val="single" w:color="auto" w:sz="4" w:space="24"/>
      </w:pgBorders>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6B81035-7801-4A7D-BDED-26195A789F9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2" w:fontKey="{F7FB54EA-1F2F-4BA6-A1DC-72BF0592857F}"/>
  </w:font>
  <w:font w:name="仿宋_GB2312">
    <w:panose1 w:val="02010609030101010101"/>
    <w:charset w:val="86"/>
    <w:family w:val="modern"/>
    <w:pitch w:val="default"/>
    <w:sig w:usb0="00000001" w:usb1="080E0000" w:usb2="00000000" w:usb3="00000000" w:csb0="00040000" w:csb1="00000000"/>
    <w:embedRegular r:id="rId3" w:fontKey="{4A8E7AEA-CE39-4A2E-90C7-50C817A3AD76}"/>
  </w:font>
  <w:font w:name="Cambria">
    <w:panose1 w:val="02040503050406030204"/>
    <w:charset w:val="00"/>
    <w:family w:val="roman"/>
    <w:pitch w:val="default"/>
    <w:sig w:usb0="E00006FF" w:usb1="420024FF" w:usb2="02000000" w:usb3="00000000" w:csb0="2000019F" w:csb1="00000000"/>
    <w:embedRegular r:id="rId4" w:fontKey="{51B57F74-1245-4F08-9040-81E5B728B22C}"/>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embedRegular r:id="rId5" w:fontKey="{C2F61D8D-DB58-46FF-982A-E44CA73C3E5C}"/>
  </w:font>
  <w:font w:name="方正小标宋简体">
    <w:panose1 w:val="03000509000000000000"/>
    <w:charset w:val="86"/>
    <w:family w:val="script"/>
    <w:pitch w:val="default"/>
    <w:sig w:usb0="00000001" w:usb1="080E0000" w:usb2="00000000" w:usb3="00000000" w:csb0="00040000" w:csb1="00000000"/>
    <w:embedRegular r:id="rId6" w:fontKey="{061A7422-85A4-4662-9A11-29B4158EEB1A}"/>
  </w:font>
  <w:font w:name="等线">
    <w:panose1 w:val="02010600030101010101"/>
    <w:charset w:val="86"/>
    <w:family w:val="auto"/>
    <w:pitch w:val="default"/>
    <w:sig w:usb0="A00002BF" w:usb1="38CF7CFA" w:usb2="00000016" w:usb3="00000000" w:csb0="0004000F" w:csb1="00000000"/>
    <w:embedRegular r:id="rId7" w:fontKey="{EAA9055C-122E-4EF4-84E5-51431FB541E8}"/>
  </w:font>
  <w:font w:name="楷体_GB2312">
    <w:altName w:val="楷体"/>
    <w:panose1 w:val="00000000000000000000"/>
    <w:charset w:val="86"/>
    <w:family w:val="swiss"/>
    <w:pitch w:val="default"/>
    <w:sig w:usb0="00000000" w:usb1="00000000" w:usb2="00000010" w:usb3="00000000" w:csb0="00040000" w:csb1="00000000"/>
    <w:embedRegular r:id="rId8" w:fontKey="{2017A544-60D5-44A5-9C7E-83EA61ECDD2E}"/>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PAGE   \* MERGEFORMAT</w:instrText>
    </w:r>
    <w:r>
      <w:fldChar w:fldCharType="separate"/>
    </w:r>
    <w:r>
      <w:rPr>
        <w:lang w:val="zh-CN"/>
      </w:rPr>
      <w:t>2</w:t>
    </w:r>
    <w:r>
      <w:rPr>
        <w:lang w:val="zh-CN"/>
      </w:rPr>
      <w:fldChar w:fldCharType="end"/>
    </w:r>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FFB757"/>
    <w:multiLevelType w:val="singleLevel"/>
    <w:tmpl w:val="A9FFB757"/>
    <w:lvl w:ilvl="0" w:tentative="0">
      <w:start w:val="1"/>
      <w:numFmt w:val="decimal"/>
      <w:lvlText w:val="%1."/>
      <w:lvlJc w:val="left"/>
      <w:pPr>
        <w:tabs>
          <w:tab w:val="left" w:pos="312"/>
        </w:tabs>
      </w:pPr>
    </w:lvl>
  </w:abstractNum>
  <w:abstractNum w:abstractNumId="1">
    <w:nsid w:val="B2C3E295"/>
    <w:multiLevelType w:val="singleLevel"/>
    <w:tmpl w:val="B2C3E295"/>
    <w:lvl w:ilvl="0" w:tentative="0">
      <w:start w:val="1"/>
      <w:numFmt w:val="decimal"/>
      <w:lvlText w:val="%1."/>
      <w:lvlJc w:val="left"/>
      <w:pPr>
        <w:tabs>
          <w:tab w:val="left" w:pos="312"/>
        </w:tabs>
      </w:pPr>
    </w:lvl>
  </w:abstractNum>
  <w:abstractNum w:abstractNumId="2">
    <w:nsid w:val="B4EB2ABB"/>
    <w:multiLevelType w:val="singleLevel"/>
    <w:tmpl w:val="B4EB2ABB"/>
    <w:lvl w:ilvl="0" w:tentative="0">
      <w:start w:val="1"/>
      <w:numFmt w:val="decimal"/>
      <w:lvlText w:val="%1."/>
      <w:lvlJc w:val="left"/>
      <w:pPr>
        <w:tabs>
          <w:tab w:val="left" w:pos="312"/>
        </w:tabs>
      </w:pPr>
    </w:lvl>
  </w:abstractNum>
  <w:abstractNum w:abstractNumId="3">
    <w:nsid w:val="53156764"/>
    <w:multiLevelType w:val="singleLevel"/>
    <w:tmpl w:val="53156764"/>
    <w:lvl w:ilvl="0" w:tentative="0">
      <w:start w:val="1"/>
      <w:numFmt w:val="decimal"/>
      <w:lvlText w:val="%1."/>
      <w:lvlJc w:val="left"/>
      <w:pPr>
        <w:tabs>
          <w:tab w:val="left" w:pos="312"/>
        </w:tabs>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A20D13"/>
    <w:rsid w:val="00000024"/>
    <w:rsid w:val="00001FF8"/>
    <w:rsid w:val="000035BE"/>
    <w:rsid w:val="0000367D"/>
    <w:rsid w:val="00003984"/>
    <w:rsid w:val="00006A1C"/>
    <w:rsid w:val="00007706"/>
    <w:rsid w:val="00007966"/>
    <w:rsid w:val="00016A2F"/>
    <w:rsid w:val="00016C74"/>
    <w:rsid w:val="00023047"/>
    <w:rsid w:val="000244D2"/>
    <w:rsid w:val="0002577C"/>
    <w:rsid w:val="00026C40"/>
    <w:rsid w:val="00040A90"/>
    <w:rsid w:val="00041B43"/>
    <w:rsid w:val="00045395"/>
    <w:rsid w:val="00046265"/>
    <w:rsid w:val="00047612"/>
    <w:rsid w:val="00047661"/>
    <w:rsid w:val="00050E06"/>
    <w:rsid w:val="000516AF"/>
    <w:rsid w:val="000538B2"/>
    <w:rsid w:val="0007090C"/>
    <w:rsid w:val="0007185C"/>
    <w:rsid w:val="00071FE6"/>
    <w:rsid w:val="0007357F"/>
    <w:rsid w:val="00077D80"/>
    <w:rsid w:val="00080461"/>
    <w:rsid w:val="00092B40"/>
    <w:rsid w:val="0009419A"/>
    <w:rsid w:val="000A00F3"/>
    <w:rsid w:val="000A6803"/>
    <w:rsid w:val="000B0EC3"/>
    <w:rsid w:val="000B1326"/>
    <w:rsid w:val="000B4CE5"/>
    <w:rsid w:val="000B626F"/>
    <w:rsid w:val="000C2CA3"/>
    <w:rsid w:val="000D7814"/>
    <w:rsid w:val="000D7DB6"/>
    <w:rsid w:val="000E17E1"/>
    <w:rsid w:val="000E241D"/>
    <w:rsid w:val="000E3D09"/>
    <w:rsid w:val="000E47CE"/>
    <w:rsid w:val="000E497E"/>
    <w:rsid w:val="000F2C6D"/>
    <w:rsid w:val="000F59DD"/>
    <w:rsid w:val="000F74A8"/>
    <w:rsid w:val="00103C29"/>
    <w:rsid w:val="00105A93"/>
    <w:rsid w:val="001063F4"/>
    <w:rsid w:val="00111A29"/>
    <w:rsid w:val="00112446"/>
    <w:rsid w:val="001126FF"/>
    <w:rsid w:val="0011297F"/>
    <w:rsid w:val="00116C66"/>
    <w:rsid w:val="0011741B"/>
    <w:rsid w:val="00126C01"/>
    <w:rsid w:val="00126ED8"/>
    <w:rsid w:val="001312B2"/>
    <w:rsid w:val="001353EA"/>
    <w:rsid w:val="00141CE7"/>
    <w:rsid w:val="00142433"/>
    <w:rsid w:val="00143A9D"/>
    <w:rsid w:val="00143D24"/>
    <w:rsid w:val="001459E1"/>
    <w:rsid w:val="001516AB"/>
    <w:rsid w:val="00153F5D"/>
    <w:rsid w:val="001568D3"/>
    <w:rsid w:val="0016070C"/>
    <w:rsid w:val="00160EED"/>
    <w:rsid w:val="0016454E"/>
    <w:rsid w:val="0016456F"/>
    <w:rsid w:val="00165FE5"/>
    <w:rsid w:val="0017066D"/>
    <w:rsid w:val="00170AE4"/>
    <w:rsid w:val="00174182"/>
    <w:rsid w:val="00176D82"/>
    <w:rsid w:val="00177FCC"/>
    <w:rsid w:val="0018038B"/>
    <w:rsid w:val="001A18B1"/>
    <w:rsid w:val="001A2D39"/>
    <w:rsid w:val="001B2303"/>
    <w:rsid w:val="001B5F23"/>
    <w:rsid w:val="001C4D46"/>
    <w:rsid w:val="001C4EDD"/>
    <w:rsid w:val="001C5422"/>
    <w:rsid w:val="001C5F3D"/>
    <w:rsid w:val="001C6343"/>
    <w:rsid w:val="001C6935"/>
    <w:rsid w:val="001C73B4"/>
    <w:rsid w:val="001D4855"/>
    <w:rsid w:val="001E7F3D"/>
    <w:rsid w:val="001F372B"/>
    <w:rsid w:val="001F40EE"/>
    <w:rsid w:val="001F79D8"/>
    <w:rsid w:val="002172B3"/>
    <w:rsid w:val="00217A85"/>
    <w:rsid w:val="00217FB3"/>
    <w:rsid w:val="00222254"/>
    <w:rsid w:val="0022308E"/>
    <w:rsid w:val="00223667"/>
    <w:rsid w:val="00225508"/>
    <w:rsid w:val="0022692A"/>
    <w:rsid w:val="002272FD"/>
    <w:rsid w:val="0023075E"/>
    <w:rsid w:val="0023410F"/>
    <w:rsid w:val="002348C8"/>
    <w:rsid w:val="002360C6"/>
    <w:rsid w:val="00243EE3"/>
    <w:rsid w:val="00251D44"/>
    <w:rsid w:val="0025210A"/>
    <w:rsid w:val="002553FC"/>
    <w:rsid w:val="002557F9"/>
    <w:rsid w:val="0026004A"/>
    <w:rsid w:val="0026485C"/>
    <w:rsid w:val="002667F3"/>
    <w:rsid w:val="00270703"/>
    <w:rsid w:val="00271C12"/>
    <w:rsid w:val="0027547E"/>
    <w:rsid w:val="00275C40"/>
    <w:rsid w:val="00275FDE"/>
    <w:rsid w:val="002861E4"/>
    <w:rsid w:val="00286C22"/>
    <w:rsid w:val="002926E0"/>
    <w:rsid w:val="002A01BA"/>
    <w:rsid w:val="002A071B"/>
    <w:rsid w:val="002A595A"/>
    <w:rsid w:val="002A79E9"/>
    <w:rsid w:val="002B506F"/>
    <w:rsid w:val="002B62FA"/>
    <w:rsid w:val="002C5287"/>
    <w:rsid w:val="002D011A"/>
    <w:rsid w:val="002D286E"/>
    <w:rsid w:val="002D588E"/>
    <w:rsid w:val="002D6456"/>
    <w:rsid w:val="002E69D4"/>
    <w:rsid w:val="002F1FFD"/>
    <w:rsid w:val="002F65F9"/>
    <w:rsid w:val="002F6744"/>
    <w:rsid w:val="002F7AEE"/>
    <w:rsid w:val="003015FF"/>
    <w:rsid w:val="003034F6"/>
    <w:rsid w:val="003039E2"/>
    <w:rsid w:val="00305178"/>
    <w:rsid w:val="0031237D"/>
    <w:rsid w:val="00314E01"/>
    <w:rsid w:val="00314E68"/>
    <w:rsid w:val="00316652"/>
    <w:rsid w:val="00320CC7"/>
    <w:rsid w:val="00321F9B"/>
    <w:rsid w:val="00331B68"/>
    <w:rsid w:val="003325AE"/>
    <w:rsid w:val="00333252"/>
    <w:rsid w:val="00333F06"/>
    <w:rsid w:val="00334958"/>
    <w:rsid w:val="00340912"/>
    <w:rsid w:val="003421BE"/>
    <w:rsid w:val="00345847"/>
    <w:rsid w:val="00350AEE"/>
    <w:rsid w:val="00350E8C"/>
    <w:rsid w:val="00355FA6"/>
    <w:rsid w:val="00361CCD"/>
    <w:rsid w:val="00363A89"/>
    <w:rsid w:val="0036584E"/>
    <w:rsid w:val="00367CB0"/>
    <w:rsid w:val="00374418"/>
    <w:rsid w:val="00383498"/>
    <w:rsid w:val="00385254"/>
    <w:rsid w:val="00397B55"/>
    <w:rsid w:val="003A0588"/>
    <w:rsid w:val="003A1A96"/>
    <w:rsid w:val="003A1FF8"/>
    <w:rsid w:val="003A7F82"/>
    <w:rsid w:val="003B27F8"/>
    <w:rsid w:val="003B2EAE"/>
    <w:rsid w:val="003B584E"/>
    <w:rsid w:val="003B75E8"/>
    <w:rsid w:val="003C0FD3"/>
    <w:rsid w:val="003C442B"/>
    <w:rsid w:val="003D757E"/>
    <w:rsid w:val="003E4A6B"/>
    <w:rsid w:val="003F0279"/>
    <w:rsid w:val="00403E50"/>
    <w:rsid w:val="00404665"/>
    <w:rsid w:val="00404CB1"/>
    <w:rsid w:val="0040751F"/>
    <w:rsid w:val="00412FCF"/>
    <w:rsid w:val="004168D2"/>
    <w:rsid w:val="00416E50"/>
    <w:rsid w:val="00426424"/>
    <w:rsid w:val="00426C4A"/>
    <w:rsid w:val="00430EF4"/>
    <w:rsid w:val="00431AE8"/>
    <w:rsid w:val="00432121"/>
    <w:rsid w:val="00436185"/>
    <w:rsid w:val="00440DEE"/>
    <w:rsid w:val="00445F3E"/>
    <w:rsid w:val="00455479"/>
    <w:rsid w:val="00455FE1"/>
    <w:rsid w:val="004610A7"/>
    <w:rsid w:val="0046766B"/>
    <w:rsid w:val="00477AC1"/>
    <w:rsid w:val="00483CAC"/>
    <w:rsid w:val="004906FE"/>
    <w:rsid w:val="004959D3"/>
    <w:rsid w:val="004A143A"/>
    <w:rsid w:val="004A4482"/>
    <w:rsid w:val="004A7C1E"/>
    <w:rsid w:val="004B2D51"/>
    <w:rsid w:val="004B53D3"/>
    <w:rsid w:val="004B55D3"/>
    <w:rsid w:val="004C34C0"/>
    <w:rsid w:val="004C3C79"/>
    <w:rsid w:val="004D1ADF"/>
    <w:rsid w:val="004D2991"/>
    <w:rsid w:val="004D678C"/>
    <w:rsid w:val="004E28E5"/>
    <w:rsid w:val="004E5053"/>
    <w:rsid w:val="004E71AA"/>
    <w:rsid w:val="004E7DD9"/>
    <w:rsid w:val="004F586D"/>
    <w:rsid w:val="00501348"/>
    <w:rsid w:val="0050437A"/>
    <w:rsid w:val="00506F53"/>
    <w:rsid w:val="00507E70"/>
    <w:rsid w:val="0051070D"/>
    <w:rsid w:val="005114D5"/>
    <w:rsid w:val="005154D8"/>
    <w:rsid w:val="00517A55"/>
    <w:rsid w:val="005240C3"/>
    <w:rsid w:val="005259E2"/>
    <w:rsid w:val="0052690E"/>
    <w:rsid w:val="0053397C"/>
    <w:rsid w:val="00535034"/>
    <w:rsid w:val="00540697"/>
    <w:rsid w:val="00547D14"/>
    <w:rsid w:val="00550C59"/>
    <w:rsid w:val="00551B97"/>
    <w:rsid w:val="00552051"/>
    <w:rsid w:val="00552FFF"/>
    <w:rsid w:val="00553C05"/>
    <w:rsid w:val="00555DCE"/>
    <w:rsid w:val="00555EFF"/>
    <w:rsid w:val="0055663E"/>
    <w:rsid w:val="0056245B"/>
    <w:rsid w:val="00570C10"/>
    <w:rsid w:val="005733CF"/>
    <w:rsid w:val="00574889"/>
    <w:rsid w:val="00577DF2"/>
    <w:rsid w:val="0058102E"/>
    <w:rsid w:val="00581161"/>
    <w:rsid w:val="005824B8"/>
    <w:rsid w:val="00585A54"/>
    <w:rsid w:val="00585CAF"/>
    <w:rsid w:val="00590EA7"/>
    <w:rsid w:val="005A0083"/>
    <w:rsid w:val="005A488C"/>
    <w:rsid w:val="005A7FED"/>
    <w:rsid w:val="005B0960"/>
    <w:rsid w:val="005B0A70"/>
    <w:rsid w:val="005C53DB"/>
    <w:rsid w:val="005D2774"/>
    <w:rsid w:val="005E17FE"/>
    <w:rsid w:val="005E496E"/>
    <w:rsid w:val="005F04AC"/>
    <w:rsid w:val="005F1F6B"/>
    <w:rsid w:val="0060227F"/>
    <w:rsid w:val="00615938"/>
    <w:rsid w:val="00622D6A"/>
    <w:rsid w:val="006230DF"/>
    <w:rsid w:val="0062696F"/>
    <w:rsid w:val="00627800"/>
    <w:rsid w:val="006347AF"/>
    <w:rsid w:val="006421B3"/>
    <w:rsid w:val="006423D7"/>
    <w:rsid w:val="006551D5"/>
    <w:rsid w:val="00662297"/>
    <w:rsid w:val="006716DF"/>
    <w:rsid w:val="00671D73"/>
    <w:rsid w:val="00677E11"/>
    <w:rsid w:val="00686D25"/>
    <w:rsid w:val="00687FF2"/>
    <w:rsid w:val="006924B1"/>
    <w:rsid w:val="00693D5F"/>
    <w:rsid w:val="00696887"/>
    <w:rsid w:val="006A3404"/>
    <w:rsid w:val="006A50FD"/>
    <w:rsid w:val="006A664A"/>
    <w:rsid w:val="006B10CF"/>
    <w:rsid w:val="006B3AAD"/>
    <w:rsid w:val="006B4E22"/>
    <w:rsid w:val="006B65A3"/>
    <w:rsid w:val="006B6CDF"/>
    <w:rsid w:val="006C1761"/>
    <w:rsid w:val="006C57FA"/>
    <w:rsid w:val="006C6221"/>
    <w:rsid w:val="006D1AEE"/>
    <w:rsid w:val="006D4CA8"/>
    <w:rsid w:val="006E1646"/>
    <w:rsid w:val="006E3387"/>
    <w:rsid w:val="006E7161"/>
    <w:rsid w:val="006F102A"/>
    <w:rsid w:val="006F1E3D"/>
    <w:rsid w:val="006F7299"/>
    <w:rsid w:val="00711A1B"/>
    <w:rsid w:val="007170C5"/>
    <w:rsid w:val="007227AE"/>
    <w:rsid w:val="00723FF8"/>
    <w:rsid w:val="007243DA"/>
    <w:rsid w:val="00724EC0"/>
    <w:rsid w:val="007262C9"/>
    <w:rsid w:val="00726EB6"/>
    <w:rsid w:val="00731428"/>
    <w:rsid w:val="00734926"/>
    <w:rsid w:val="00744987"/>
    <w:rsid w:val="0075139E"/>
    <w:rsid w:val="007547F8"/>
    <w:rsid w:val="0075546B"/>
    <w:rsid w:val="00765AAE"/>
    <w:rsid w:val="00777FB1"/>
    <w:rsid w:val="007870AA"/>
    <w:rsid w:val="00787267"/>
    <w:rsid w:val="007912FD"/>
    <w:rsid w:val="007934D6"/>
    <w:rsid w:val="007951E3"/>
    <w:rsid w:val="007959C7"/>
    <w:rsid w:val="00796909"/>
    <w:rsid w:val="007A3598"/>
    <w:rsid w:val="007B1DA3"/>
    <w:rsid w:val="007C0FC5"/>
    <w:rsid w:val="007C40BA"/>
    <w:rsid w:val="007D7A93"/>
    <w:rsid w:val="007E1F55"/>
    <w:rsid w:val="007E262E"/>
    <w:rsid w:val="007E52A0"/>
    <w:rsid w:val="007E6667"/>
    <w:rsid w:val="007E68D1"/>
    <w:rsid w:val="007E6BE7"/>
    <w:rsid w:val="007E725C"/>
    <w:rsid w:val="007F0994"/>
    <w:rsid w:val="007F0B26"/>
    <w:rsid w:val="007F601D"/>
    <w:rsid w:val="007F6C43"/>
    <w:rsid w:val="0080350D"/>
    <w:rsid w:val="00805819"/>
    <w:rsid w:val="008135F0"/>
    <w:rsid w:val="00821CEF"/>
    <w:rsid w:val="0082471A"/>
    <w:rsid w:val="0082538C"/>
    <w:rsid w:val="00826980"/>
    <w:rsid w:val="008273A3"/>
    <w:rsid w:val="008328FF"/>
    <w:rsid w:val="00835562"/>
    <w:rsid w:val="008355F9"/>
    <w:rsid w:val="00841086"/>
    <w:rsid w:val="008434C0"/>
    <w:rsid w:val="00843AA5"/>
    <w:rsid w:val="0084537B"/>
    <w:rsid w:val="00847AE5"/>
    <w:rsid w:val="0085042D"/>
    <w:rsid w:val="00856463"/>
    <w:rsid w:val="00856996"/>
    <w:rsid w:val="008615DE"/>
    <w:rsid w:val="0086419F"/>
    <w:rsid w:val="008668D6"/>
    <w:rsid w:val="00867FF6"/>
    <w:rsid w:val="00884595"/>
    <w:rsid w:val="00884BC7"/>
    <w:rsid w:val="00885491"/>
    <w:rsid w:val="008879E6"/>
    <w:rsid w:val="00890345"/>
    <w:rsid w:val="00894764"/>
    <w:rsid w:val="00896DBB"/>
    <w:rsid w:val="008A5D3C"/>
    <w:rsid w:val="008B4B4F"/>
    <w:rsid w:val="008B519D"/>
    <w:rsid w:val="008D0C18"/>
    <w:rsid w:val="008D3918"/>
    <w:rsid w:val="008D3CC2"/>
    <w:rsid w:val="008D4EB5"/>
    <w:rsid w:val="008F520E"/>
    <w:rsid w:val="008F7099"/>
    <w:rsid w:val="00902B40"/>
    <w:rsid w:val="009030D4"/>
    <w:rsid w:val="009047A1"/>
    <w:rsid w:val="00904FBD"/>
    <w:rsid w:val="00905003"/>
    <w:rsid w:val="009136C5"/>
    <w:rsid w:val="009139C2"/>
    <w:rsid w:val="009155B9"/>
    <w:rsid w:val="00915784"/>
    <w:rsid w:val="00915F4D"/>
    <w:rsid w:val="00917D9D"/>
    <w:rsid w:val="009228AB"/>
    <w:rsid w:val="009229E3"/>
    <w:rsid w:val="009241DC"/>
    <w:rsid w:val="00926F34"/>
    <w:rsid w:val="00933BAD"/>
    <w:rsid w:val="00935242"/>
    <w:rsid w:val="00941874"/>
    <w:rsid w:val="00945532"/>
    <w:rsid w:val="00955EE7"/>
    <w:rsid w:val="00965FB8"/>
    <w:rsid w:val="00966348"/>
    <w:rsid w:val="009726E6"/>
    <w:rsid w:val="00974BF7"/>
    <w:rsid w:val="0098222B"/>
    <w:rsid w:val="00985FBC"/>
    <w:rsid w:val="00991A72"/>
    <w:rsid w:val="009A3448"/>
    <w:rsid w:val="009A5E7C"/>
    <w:rsid w:val="009A6784"/>
    <w:rsid w:val="009B3246"/>
    <w:rsid w:val="009B4439"/>
    <w:rsid w:val="009B4C50"/>
    <w:rsid w:val="009B732D"/>
    <w:rsid w:val="009B7BE4"/>
    <w:rsid w:val="009C303B"/>
    <w:rsid w:val="009C3E46"/>
    <w:rsid w:val="009C57F2"/>
    <w:rsid w:val="009C7EFB"/>
    <w:rsid w:val="009D38CA"/>
    <w:rsid w:val="009E00F0"/>
    <w:rsid w:val="009E61DC"/>
    <w:rsid w:val="009F3EFE"/>
    <w:rsid w:val="009F5ADD"/>
    <w:rsid w:val="00A10E7E"/>
    <w:rsid w:val="00A12CD9"/>
    <w:rsid w:val="00A1360E"/>
    <w:rsid w:val="00A15DFB"/>
    <w:rsid w:val="00A20D13"/>
    <w:rsid w:val="00A2620F"/>
    <w:rsid w:val="00A34D52"/>
    <w:rsid w:val="00A417C2"/>
    <w:rsid w:val="00A41D67"/>
    <w:rsid w:val="00A42258"/>
    <w:rsid w:val="00A43007"/>
    <w:rsid w:val="00A47AE8"/>
    <w:rsid w:val="00A547A9"/>
    <w:rsid w:val="00A63E9A"/>
    <w:rsid w:val="00A92682"/>
    <w:rsid w:val="00AA63BE"/>
    <w:rsid w:val="00AA6A83"/>
    <w:rsid w:val="00AA71E7"/>
    <w:rsid w:val="00AA788F"/>
    <w:rsid w:val="00AB0B07"/>
    <w:rsid w:val="00AB0CDE"/>
    <w:rsid w:val="00AB39AC"/>
    <w:rsid w:val="00AB4BB6"/>
    <w:rsid w:val="00AC12B8"/>
    <w:rsid w:val="00AC5ADF"/>
    <w:rsid w:val="00AD69A6"/>
    <w:rsid w:val="00AE043E"/>
    <w:rsid w:val="00AF0A04"/>
    <w:rsid w:val="00AF26F6"/>
    <w:rsid w:val="00AF37CB"/>
    <w:rsid w:val="00AF5E57"/>
    <w:rsid w:val="00AF6600"/>
    <w:rsid w:val="00AF6D03"/>
    <w:rsid w:val="00AF7E10"/>
    <w:rsid w:val="00B010B1"/>
    <w:rsid w:val="00B02B7D"/>
    <w:rsid w:val="00B05D33"/>
    <w:rsid w:val="00B212E3"/>
    <w:rsid w:val="00B23864"/>
    <w:rsid w:val="00B27BCC"/>
    <w:rsid w:val="00B36465"/>
    <w:rsid w:val="00B41952"/>
    <w:rsid w:val="00B420F2"/>
    <w:rsid w:val="00B4287B"/>
    <w:rsid w:val="00B45932"/>
    <w:rsid w:val="00B45EC7"/>
    <w:rsid w:val="00B65541"/>
    <w:rsid w:val="00B676C5"/>
    <w:rsid w:val="00B742F3"/>
    <w:rsid w:val="00B8086C"/>
    <w:rsid w:val="00B81DD9"/>
    <w:rsid w:val="00BA27FA"/>
    <w:rsid w:val="00BA3DAF"/>
    <w:rsid w:val="00BB01E2"/>
    <w:rsid w:val="00BB4826"/>
    <w:rsid w:val="00BB518F"/>
    <w:rsid w:val="00BC5B98"/>
    <w:rsid w:val="00BC67A5"/>
    <w:rsid w:val="00BD1CAE"/>
    <w:rsid w:val="00BD2CBD"/>
    <w:rsid w:val="00BD4523"/>
    <w:rsid w:val="00BD5390"/>
    <w:rsid w:val="00BD665B"/>
    <w:rsid w:val="00BE2353"/>
    <w:rsid w:val="00BE4677"/>
    <w:rsid w:val="00BF28AA"/>
    <w:rsid w:val="00BF5BC8"/>
    <w:rsid w:val="00C04559"/>
    <w:rsid w:val="00C06A93"/>
    <w:rsid w:val="00C113CD"/>
    <w:rsid w:val="00C24A80"/>
    <w:rsid w:val="00C24C41"/>
    <w:rsid w:val="00C32DFF"/>
    <w:rsid w:val="00C35B51"/>
    <w:rsid w:val="00C404FB"/>
    <w:rsid w:val="00C47704"/>
    <w:rsid w:val="00C64138"/>
    <w:rsid w:val="00C65DF4"/>
    <w:rsid w:val="00C71469"/>
    <w:rsid w:val="00C764D1"/>
    <w:rsid w:val="00C775B8"/>
    <w:rsid w:val="00C80681"/>
    <w:rsid w:val="00C81B51"/>
    <w:rsid w:val="00C83B6E"/>
    <w:rsid w:val="00C84BBB"/>
    <w:rsid w:val="00C8763C"/>
    <w:rsid w:val="00C9127E"/>
    <w:rsid w:val="00C9132D"/>
    <w:rsid w:val="00C952F6"/>
    <w:rsid w:val="00C976F6"/>
    <w:rsid w:val="00CA1C12"/>
    <w:rsid w:val="00CA1ED5"/>
    <w:rsid w:val="00CA63E1"/>
    <w:rsid w:val="00CB3966"/>
    <w:rsid w:val="00CB4856"/>
    <w:rsid w:val="00CC3394"/>
    <w:rsid w:val="00CC34B1"/>
    <w:rsid w:val="00CD2878"/>
    <w:rsid w:val="00CD37DB"/>
    <w:rsid w:val="00CD4148"/>
    <w:rsid w:val="00CD57B7"/>
    <w:rsid w:val="00CD6E91"/>
    <w:rsid w:val="00CD7D82"/>
    <w:rsid w:val="00CE5526"/>
    <w:rsid w:val="00CF05B7"/>
    <w:rsid w:val="00CF1515"/>
    <w:rsid w:val="00CF2DE2"/>
    <w:rsid w:val="00CF3D55"/>
    <w:rsid w:val="00D018F2"/>
    <w:rsid w:val="00D055E7"/>
    <w:rsid w:val="00D16C61"/>
    <w:rsid w:val="00D1725E"/>
    <w:rsid w:val="00D2745E"/>
    <w:rsid w:val="00D31029"/>
    <w:rsid w:val="00D34853"/>
    <w:rsid w:val="00D35E35"/>
    <w:rsid w:val="00D3744B"/>
    <w:rsid w:val="00D37B19"/>
    <w:rsid w:val="00D43B98"/>
    <w:rsid w:val="00D454CC"/>
    <w:rsid w:val="00D502DA"/>
    <w:rsid w:val="00D509C8"/>
    <w:rsid w:val="00D5245A"/>
    <w:rsid w:val="00D5255D"/>
    <w:rsid w:val="00D53D5F"/>
    <w:rsid w:val="00D547BB"/>
    <w:rsid w:val="00D72237"/>
    <w:rsid w:val="00D72D16"/>
    <w:rsid w:val="00D75A22"/>
    <w:rsid w:val="00D76A2F"/>
    <w:rsid w:val="00D840B8"/>
    <w:rsid w:val="00D90BC6"/>
    <w:rsid w:val="00D93DEC"/>
    <w:rsid w:val="00D93E78"/>
    <w:rsid w:val="00D95B7C"/>
    <w:rsid w:val="00DA7347"/>
    <w:rsid w:val="00DB31C6"/>
    <w:rsid w:val="00DB7D0B"/>
    <w:rsid w:val="00DC027A"/>
    <w:rsid w:val="00DC46CB"/>
    <w:rsid w:val="00DC77AE"/>
    <w:rsid w:val="00DD1802"/>
    <w:rsid w:val="00DD36AA"/>
    <w:rsid w:val="00DE11CF"/>
    <w:rsid w:val="00DE4698"/>
    <w:rsid w:val="00DE477B"/>
    <w:rsid w:val="00DE57C5"/>
    <w:rsid w:val="00DF0D16"/>
    <w:rsid w:val="00DF10E5"/>
    <w:rsid w:val="00DF4142"/>
    <w:rsid w:val="00DF7448"/>
    <w:rsid w:val="00E021FF"/>
    <w:rsid w:val="00E07445"/>
    <w:rsid w:val="00E11B08"/>
    <w:rsid w:val="00E13813"/>
    <w:rsid w:val="00E1563F"/>
    <w:rsid w:val="00E162AB"/>
    <w:rsid w:val="00E17E03"/>
    <w:rsid w:val="00E22C8E"/>
    <w:rsid w:val="00E33A97"/>
    <w:rsid w:val="00E4084D"/>
    <w:rsid w:val="00E44200"/>
    <w:rsid w:val="00E44EAD"/>
    <w:rsid w:val="00E534AF"/>
    <w:rsid w:val="00E54CD2"/>
    <w:rsid w:val="00E54DEB"/>
    <w:rsid w:val="00E5661A"/>
    <w:rsid w:val="00E568C1"/>
    <w:rsid w:val="00E60A08"/>
    <w:rsid w:val="00E61B38"/>
    <w:rsid w:val="00E705CA"/>
    <w:rsid w:val="00E7481D"/>
    <w:rsid w:val="00E759EA"/>
    <w:rsid w:val="00E77766"/>
    <w:rsid w:val="00E77B31"/>
    <w:rsid w:val="00E81F62"/>
    <w:rsid w:val="00E83EE4"/>
    <w:rsid w:val="00E84F7E"/>
    <w:rsid w:val="00E8550C"/>
    <w:rsid w:val="00E93D9E"/>
    <w:rsid w:val="00E9429E"/>
    <w:rsid w:val="00E944A6"/>
    <w:rsid w:val="00E9548C"/>
    <w:rsid w:val="00E978F3"/>
    <w:rsid w:val="00EA0E0F"/>
    <w:rsid w:val="00EB2A8D"/>
    <w:rsid w:val="00EB4D47"/>
    <w:rsid w:val="00EB50B0"/>
    <w:rsid w:val="00EB5623"/>
    <w:rsid w:val="00EC2954"/>
    <w:rsid w:val="00EC32B3"/>
    <w:rsid w:val="00EC5312"/>
    <w:rsid w:val="00ED1662"/>
    <w:rsid w:val="00EE0303"/>
    <w:rsid w:val="00EF7D4D"/>
    <w:rsid w:val="00F0128D"/>
    <w:rsid w:val="00F01A74"/>
    <w:rsid w:val="00F028EB"/>
    <w:rsid w:val="00F03927"/>
    <w:rsid w:val="00F0420E"/>
    <w:rsid w:val="00F0509F"/>
    <w:rsid w:val="00F064B2"/>
    <w:rsid w:val="00F06C86"/>
    <w:rsid w:val="00F071B9"/>
    <w:rsid w:val="00F1146C"/>
    <w:rsid w:val="00F15131"/>
    <w:rsid w:val="00F16346"/>
    <w:rsid w:val="00F165C8"/>
    <w:rsid w:val="00F16FD1"/>
    <w:rsid w:val="00F23342"/>
    <w:rsid w:val="00F26107"/>
    <w:rsid w:val="00F2656C"/>
    <w:rsid w:val="00F3073F"/>
    <w:rsid w:val="00F30C78"/>
    <w:rsid w:val="00F3206E"/>
    <w:rsid w:val="00F3784F"/>
    <w:rsid w:val="00F37BBC"/>
    <w:rsid w:val="00F42331"/>
    <w:rsid w:val="00F4249E"/>
    <w:rsid w:val="00F424C2"/>
    <w:rsid w:val="00F426AB"/>
    <w:rsid w:val="00F537FC"/>
    <w:rsid w:val="00F57506"/>
    <w:rsid w:val="00F57B1F"/>
    <w:rsid w:val="00F6239E"/>
    <w:rsid w:val="00F74B50"/>
    <w:rsid w:val="00F82BDF"/>
    <w:rsid w:val="00F84738"/>
    <w:rsid w:val="00F85363"/>
    <w:rsid w:val="00F87521"/>
    <w:rsid w:val="00F90C88"/>
    <w:rsid w:val="00F940AE"/>
    <w:rsid w:val="00F955E7"/>
    <w:rsid w:val="00FA4FEE"/>
    <w:rsid w:val="00FA522E"/>
    <w:rsid w:val="00FA79E2"/>
    <w:rsid w:val="00FB14AC"/>
    <w:rsid w:val="00FC547F"/>
    <w:rsid w:val="00FC6B98"/>
    <w:rsid w:val="00FC7F1F"/>
    <w:rsid w:val="00FD1525"/>
    <w:rsid w:val="00FD5C33"/>
    <w:rsid w:val="00FD653A"/>
    <w:rsid w:val="00FD7317"/>
    <w:rsid w:val="00FF5F79"/>
    <w:rsid w:val="04610B65"/>
    <w:rsid w:val="04E43544"/>
    <w:rsid w:val="04F4073D"/>
    <w:rsid w:val="0ECF6366"/>
    <w:rsid w:val="13725E04"/>
    <w:rsid w:val="180A2E6A"/>
    <w:rsid w:val="182E403B"/>
    <w:rsid w:val="1A9B585D"/>
    <w:rsid w:val="26244A34"/>
    <w:rsid w:val="2C375DB1"/>
    <w:rsid w:val="2C6B6F80"/>
    <w:rsid w:val="2C8C5D24"/>
    <w:rsid w:val="2D08353B"/>
    <w:rsid w:val="3A314FEB"/>
    <w:rsid w:val="3E164F9A"/>
    <w:rsid w:val="43BE1989"/>
    <w:rsid w:val="44BD5FC0"/>
    <w:rsid w:val="4A572B96"/>
    <w:rsid w:val="4BB123C2"/>
    <w:rsid w:val="4E4E0A04"/>
    <w:rsid w:val="4F045593"/>
    <w:rsid w:val="4F531606"/>
    <w:rsid w:val="4F610821"/>
    <w:rsid w:val="52102850"/>
    <w:rsid w:val="529F2C8A"/>
    <w:rsid w:val="572172AD"/>
    <w:rsid w:val="57C20C8A"/>
    <w:rsid w:val="59D93E6F"/>
    <w:rsid w:val="5BE71D9B"/>
    <w:rsid w:val="5F6146B0"/>
    <w:rsid w:val="60321B50"/>
    <w:rsid w:val="605E76C6"/>
    <w:rsid w:val="60F2511B"/>
    <w:rsid w:val="655D5954"/>
    <w:rsid w:val="6562730B"/>
    <w:rsid w:val="67C5259E"/>
    <w:rsid w:val="6AAC038F"/>
    <w:rsid w:val="6C744712"/>
    <w:rsid w:val="6CD575D4"/>
    <w:rsid w:val="6E7D35D3"/>
    <w:rsid w:val="73C536E5"/>
    <w:rsid w:val="73DC7CF1"/>
    <w:rsid w:val="74290425"/>
    <w:rsid w:val="74AF129A"/>
    <w:rsid w:val="75F267E8"/>
    <w:rsid w:val="761743DC"/>
    <w:rsid w:val="7A8D6EF3"/>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99" w:semiHidden="0" w:name="Strong" w:locked="1"/>
    <w:lsdException w:qFormat="1" w:unhideWhenUsed="0" w:uiPriority="20" w:semiHidden="0" w:name="Emphasis" w:locked="1"/>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link w:val="23"/>
    <w:qFormat/>
    <w:uiPriority w:val="99"/>
    <w:pPr>
      <w:keepNext/>
      <w:keepLines/>
      <w:spacing w:line="578" w:lineRule="auto"/>
      <w:jc w:val="center"/>
      <w:outlineLvl w:val="0"/>
    </w:pPr>
    <w:rPr>
      <w:rFonts w:ascii="Times New Roman" w:hAnsi="Times New Roman" w:eastAsia="仿宋_GB2312" w:cs="Times New Roman"/>
      <w:b/>
      <w:bCs/>
      <w:kern w:val="44"/>
      <w:sz w:val="44"/>
      <w:szCs w:val="44"/>
    </w:rPr>
  </w:style>
  <w:style w:type="paragraph" w:styleId="4">
    <w:name w:val="heading 2"/>
    <w:basedOn w:val="1"/>
    <w:next w:val="1"/>
    <w:link w:val="24"/>
    <w:qFormat/>
    <w:uiPriority w:val="99"/>
    <w:pPr>
      <w:keepNext/>
      <w:keepLines/>
      <w:spacing w:line="416" w:lineRule="auto"/>
      <w:outlineLvl w:val="1"/>
    </w:pPr>
    <w:rPr>
      <w:rFonts w:ascii="Cambria" w:hAnsi="Cambria" w:eastAsia="仿宋_GB2312" w:cs="Cambria"/>
      <w:b/>
      <w:bCs/>
      <w:kern w:val="0"/>
      <w:sz w:val="32"/>
      <w:szCs w:val="32"/>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afterLines="0"/>
      <w:jc w:val="both"/>
    </w:pPr>
    <w:rPr>
      <w:rFonts w:ascii="Calibri" w:hAnsi="Calibri"/>
      <w:kern w:val="2"/>
      <w:sz w:val="21"/>
      <w:szCs w:val="22"/>
    </w:rPr>
  </w:style>
  <w:style w:type="paragraph" w:styleId="5">
    <w:name w:val="Plain Text"/>
    <w:basedOn w:val="1"/>
    <w:link w:val="29"/>
    <w:qFormat/>
    <w:uiPriority w:val="0"/>
    <w:pPr>
      <w:jc w:val="left"/>
    </w:pPr>
    <w:rPr>
      <w:rFonts w:ascii="宋体" w:hAnsi="Courier New" w:cs="宋体"/>
      <w:kern w:val="0"/>
    </w:rPr>
  </w:style>
  <w:style w:type="paragraph" w:styleId="6">
    <w:name w:val="Balloon Text"/>
    <w:basedOn w:val="1"/>
    <w:link w:val="25"/>
    <w:qFormat/>
    <w:uiPriority w:val="99"/>
    <w:rPr>
      <w:rFonts w:ascii="Times New Roman" w:hAnsi="Times New Roman" w:cs="Times New Roman"/>
      <w:kern w:val="0"/>
      <w:sz w:val="18"/>
      <w:szCs w:val="18"/>
    </w:rPr>
  </w:style>
  <w:style w:type="paragraph" w:styleId="7">
    <w:name w:val="footer"/>
    <w:basedOn w:val="1"/>
    <w:link w:val="26"/>
    <w:qFormat/>
    <w:uiPriority w:val="0"/>
    <w:pPr>
      <w:tabs>
        <w:tab w:val="center" w:pos="4153"/>
        <w:tab w:val="right" w:pos="8306"/>
      </w:tabs>
      <w:snapToGrid w:val="0"/>
      <w:jc w:val="left"/>
    </w:pPr>
    <w:rPr>
      <w:rFonts w:ascii="Times New Roman" w:hAnsi="Times New Roman" w:cs="Times New Roman"/>
      <w:kern w:val="0"/>
      <w:sz w:val="18"/>
      <w:szCs w:val="18"/>
    </w:rPr>
  </w:style>
  <w:style w:type="paragraph" w:styleId="8">
    <w:name w:val="header"/>
    <w:basedOn w:val="1"/>
    <w:link w:val="27"/>
    <w:qFormat/>
    <w:uiPriority w:val="0"/>
    <w:pPr>
      <w:pBdr>
        <w:bottom w:val="single" w:color="auto" w:sz="6" w:space="1"/>
      </w:pBdr>
      <w:tabs>
        <w:tab w:val="center" w:pos="4153"/>
        <w:tab w:val="right" w:pos="8306"/>
      </w:tabs>
      <w:snapToGrid w:val="0"/>
      <w:jc w:val="center"/>
    </w:pPr>
    <w:rPr>
      <w:rFonts w:ascii="Times New Roman" w:hAnsi="Times New Roman" w:cs="Times New Roman"/>
      <w:kern w:val="0"/>
      <w:sz w:val="18"/>
      <w:szCs w:val="18"/>
    </w:rPr>
  </w:style>
  <w:style w:type="paragraph" w:styleId="9">
    <w:name w:val="toc 1"/>
    <w:basedOn w:val="1"/>
    <w:next w:val="1"/>
    <w:qFormat/>
    <w:uiPriority w:val="39"/>
  </w:style>
  <w:style w:type="paragraph" w:styleId="10">
    <w:name w:val="toc 2"/>
    <w:basedOn w:val="1"/>
    <w:next w:val="1"/>
    <w:qFormat/>
    <w:uiPriority w:val="39"/>
    <w:pPr>
      <w:ind w:left="420" w:leftChars="200"/>
    </w:pPr>
  </w:style>
  <w:style w:type="table" w:styleId="12">
    <w:name w:val="Table Grid"/>
    <w:basedOn w:val="1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qFormat/>
    <w:locked/>
    <w:uiPriority w:val="99"/>
    <w:rPr>
      <w:b/>
      <w:bCs/>
    </w:rPr>
  </w:style>
  <w:style w:type="character" w:styleId="15">
    <w:name w:val="page number"/>
    <w:basedOn w:val="13"/>
    <w:unhideWhenUsed/>
    <w:qFormat/>
    <w:uiPriority w:val="99"/>
  </w:style>
  <w:style w:type="character" w:styleId="16">
    <w:name w:val="Hyperlink"/>
    <w:qFormat/>
    <w:uiPriority w:val="99"/>
    <w:rPr>
      <w:color w:val="0000FF"/>
      <w:u w:val="single"/>
    </w:rPr>
  </w:style>
  <w:style w:type="paragraph" w:customStyle="1" w:styleId="17">
    <w:name w:val="列出段落1"/>
    <w:basedOn w:val="1"/>
    <w:qFormat/>
    <w:uiPriority w:val="99"/>
    <w:pPr>
      <w:ind w:firstLine="420" w:firstLineChars="200"/>
    </w:pPr>
  </w:style>
  <w:style w:type="paragraph" w:customStyle="1" w:styleId="18">
    <w:name w:val="_Style 23"/>
    <w:basedOn w:val="1"/>
    <w:qFormat/>
    <w:uiPriority w:val="99"/>
    <w:pPr>
      <w:widowControl/>
      <w:spacing w:after="160" w:line="240" w:lineRule="exact"/>
      <w:jc w:val="left"/>
    </w:pPr>
    <w:rPr>
      <w:rFonts w:ascii="Verdana" w:hAnsi="Verdana" w:cs="Verdana"/>
      <w:kern w:val="0"/>
      <w:sz w:val="20"/>
      <w:szCs w:val="20"/>
      <w:lang w:eastAsia="en-US"/>
    </w:rPr>
  </w:style>
  <w:style w:type="paragraph" w:customStyle="1" w:styleId="19">
    <w:name w:val="样式1"/>
    <w:basedOn w:val="1"/>
    <w:qFormat/>
    <w:uiPriority w:val="99"/>
    <w:pPr>
      <w:adjustRightInd w:val="0"/>
      <w:textAlignment w:val="baseline"/>
    </w:pPr>
    <w:rPr>
      <w:rFonts w:ascii="宋体" w:hAnsi="宋体" w:cs="宋体"/>
      <w:kern w:val="0"/>
    </w:rPr>
  </w:style>
  <w:style w:type="paragraph" w:customStyle="1" w:styleId="20">
    <w:name w:val="表格正文"/>
    <w:basedOn w:val="1"/>
    <w:qFormat/>
    <w:uiPriority w:val="99"/>
    <w:pPr>
      <w:spacing w:beforeLines="50"/>
    </w:pPr>
    <w:rPr>
      <w:rFonts w:ascii="Arial" w:hAnsi="Arial" w:cs="Arial"/>
    </w:rPr>
  </w:style>
  <w:style w:type="paragraph" w:customStyle="1" w:styleId="21">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2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
    <w:name w:val="标题 1 Char"/>
    <w:link w:val="3"/>
    <w:qFormat/>
    <w:locked/>
    <w:uiPriority w:val="99"/>
    <w:rPr>
      <w:rFonts w:eastAsia="仿宋_GB2312"/>
      <w:b/>
      <w:bCs/>
      <w:kern w:val="44"/>
      <w:sz w:val="44"/>
      <w:szCs w:val="44"/>
    </w:rPr>
  </w:style>
  <w:style w:type="character" w:customStyle="1" w:styleId="24">
    <w:name w:val="标题 2 Char"/>
    <w:link w:val="4"/>
    <w:qFormat/>
    <w:locked/>
    <w:uiPriority w:val="99"/>
    <w:rPr>
      <w:rFonts w:ascii="Cambria" w:hAnsi="Cambria" w:eastAsia="仿宋_GB2312" w:cs="Cambria"/>
      <w:b/>
      <w:bCs/>
      <w:sz w:val="32"/>
      <w:szCs w:val="32"/>
    </w:rPr>
  </w:style>
  <w:style w:type="character" w:customStyle="1" w:styleId="25">
    <w:name w:val="批注框文本 Char"/>
    <w:link w:val="6"/>
    <w:qFormat/>
    <w:locked/>
    <w:uiPriority w:val="99"/>
    <w:rPr>
      <w:sz w:val="18"/>
      <w:szCs w:val="18"/>
    </w:rPr>
  </w:style>
  <w:style w:type="character" w:customStyle="1" w:styleId="26">
    <w:name w:val="页脚 Char"/>
    <w:link w:val="7"/>
    <w:qFormat/>
    <w:locked/>
    <w:uiPriority w:val="99"/>
    <w:rPr>
      <w:sz w:val="18"/>
      <w:szCs w:val="18"/>
    </w:rPr>
  </w:style>
  <w:style w:type="character" w:customStyle="1" w:styleId="27">
    <w:name w:val="页眉 Char"/>
    <w:link w:val="8"/>
    <w:qFormat/>
    <w:locked/>
    <w:uiPriority w:val="99"/>
    <w:rPr>
      <w:sz w:val="18"/>
      <w:szCs w:val="18"/>
    </w:rPr>
  </w:style>
  <w:style w:type="character" w:customStyle="1" w:styleId="28">
    <w:name w:val="Plain Text Char"/>
    <w:qFormat/>
    <w:locked/>
    <w:uiPriority w:val="99"/>
    <w:rPr>
      <w:rFonts w:ascii="宋体" w:hAnsi="Courier New" w:cs="宋体"/>
      <w:sz w:val="21"/>
      <w:szCs w:val="21"/>
    </w:rPr>
  </w:style>
  <w:style w:type="character" w:customStyle="1" w:styleId="29">
    <w:name w:val="纯文本 Char"/>
    <w:link w:val="5"/>
    <w:qFormat/>
    <w:locked/>
    <w:uiPriority w:val="0"/>
    <w:rPr>
      <w:rFonts w:ascii="宋体" w:hAnsi="Courier New" w:cs="宋体"/>
      <w:sz w:val="21"/>
      <w:szCs w:val="21"/>
    </w:rPr>
  </w:style>
  <w:style w:type="character" w:customStyle="1" w:styleId="30">
    <w:name w:val="纯文本 Char1"/>
    <w:qFormat/>
    <w:uiPriority w:val="99"/>
    <w:rPr>
      <w:rFonts w:ascii="宋体" w:hAnsi="Courier New" w:cs="宋体"/>
      <w:kern w:val="2"/>
      <w:sz w:val="21"/>
      <w:szCs w:val="21"/>
    </w:rPr>
  </w:style>
  <w:style w:type="paragraph" w:styleId="31">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32">
    <w:name w:val="正文_2"/>
    <w:qFormat/>
    <w:uiPriority w:val="0"/>
    <w:pPr>
      <w:widowControl w:val="0"/>
      <w:jc w:val="both"/>
    </w:pPr>
    <w:rPr>
      <w:rFonts w:ascii="Calibri" w:hAnsi="Calibri" w:eastAsia="宋体" w:cs="Times New Roman"/>
      <w:kern w:val="2"/>
      <w:sz w:val="21"/>
      <w:szCs w:val="22"/>
      <w:lang w:val="en-US" w:eastAsia="zh-CN" w:bidi="ar-SA"/>
    </w:rPr>
  </w:style>
  <w:style w:type="character" w:customStyle="1" w:styleId="33">
    <w:name w:val="bds_more"/>
    <w:qFormat/>
    <w:uiPriority w:val="0"/>
    <w:rPr>
      <w:rFonts w:hint="eastAsia" w:ascii="宋体" w:hAnsi="宋体" w:eastAsia="宋体" w:cs="宋体"/>
    </w:rPr>
  </w:style>
  <w:style w:type="character" w:customStyle="1" w:styleId="34">
    <w:name w:val="font11"/>
    <w:basedOn w:val="13"/>
    <w:qFormat/>
    <w:uiPriority w:val="0"/>
    <w:rPr>
      <w:rFonts w:hint="eastAsia" w:ascii="宋体" w:hAnsi="宋体" w:eastAsia="宋体" w:cs="宋体"/>
      <w:color w:val="000000"/>
      <w:sz w:val="24"/>
      <w:szCs w:val="24"/>
      <w:u w:val="none"/>
    </w:rPr>
  </w:style>
  <w:style w:type="character" w:customStyle="1" w:styleId="35">
    <w:name w:val="bds_nopic1"/>
    <w:basedOn w:val="13"/>
    <w:qFormat/>
    <w:uiPriority w:val="0"/>
  </w:style>
  <w:style w:type="character" w:customStyle="1" w:styleId="36">
    <w:name w:val="bds_nopic2"/>
    <w:basedOn w:val="13"/>
    <w:qFormat/>
    <w:uiPriority w:val="0"/>
  </w:style>
  <w:style w:type="character" w:customStyle="1" w:styleId="37">
    <w:name w:val="bds_more1"/>
    <w:basedOn w:val="13"/>
    <w:qFormat/>
    <w:uiPriority w:val="0"/>
  </w:style>
  <w:style w:type="character" w:customStyle="1" w:styleId="38">
    <w:name w:val="bds_nopic"/>
    <w:basedOn w:val="13"/>
    <w:qFormat/>
    <w:uiPriority w:val="0"/>
  </w:style>
  <w:style w:type="character" w:customStyle="1" w:styleId="39">
    <w:name w:val="bds_more2"/>
    <w:basedOn w:val="13"/>
    <w:qFormat/>
    <w:uiPriority w:val="0"/>
  </w:style>
  <w:style w:type="paragraph" w:customStyle="1" w:styleId="40">
    <w:name w:val="Plain Text"/>
    <w:basedOn w:val="1"/>
    <w:qFormat/>
    <w:uiPriority w:val="0"/>
    <w:rPr>
      <w:rFonts w:ascii="宋体" w:hAnsi="Courier New"/>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34"/>
    <customShpInfo spid="_x0000_s103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4FFA0E-981F-4FC4-921B-10C0ED340D01}">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17</Pages>
  <Words>5157</Words>
  <Characters>5412</Characters>
  <Lines>123</Lines>
  <Paragraphs>34</Paragraphs>
  <TotalTime>5</TotalTime>
  <ScaleCrop>false</ScaleCrop>
  <LinksUpToDate>false</LinksUpToDate>
  <CharactersWithSpaces>5695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2016-03-29T00:37:00Z</dcterms:created>
  <dc:creator>User</dc:creator>
  <cp:lastModifiedBy>何国栋</cp:lastModifiedBy>
  <cp:lastPrinted>2017-03-09T04:40:00Z</cp:lastPrinted>
  <dcterms:modified xsi:type="dcterms:W3CDTF">2022-04-19T06:40:47Z</dcterms:modified>
  <dc:title>_</dc:title>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A10779DEA33845CC8C81979775E20B57</vt:lpwstr>
  </property>
</Properties>
</file>