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52"/>
          <w:szCs w:val="52"/>
        </w:rPr>
      </w:pPr>
      <w:r>
        <w:rPr>
          <w:rFonts w:ascii="仿宋" w:hAnsi="仿宋" w:eastAsia="仿宋"/>
          <w:b/>
          <w:sz w:val="52"/>
          <w:szCs w:val="52"/>
        </w:rPr>
        <w:pict>
          <v:shape id="_x0000_i1025" o:spt="136" type="#_x0000_t136" style="height:68.6pt;width:486.5pt;" fillcolor="#000000" filled="t" coordsize="21600,21600" adj="10836">
            <v:path/>
            <v:fill on="t" focussize="0,0"/>
            <v:stroke/>
            <v:imagedata o:title=""/>
            <o:lock v:ext="edit"/>
            <v:textpath on="t" fitshape="t" fitpath="t" trim="t" xscale="f" string="鄂尔多斯伊金霍洛国际机场有限公司" style="font-family:宋体;font-size:36pt;v-text-align:center;"/>
            <v:shadow on="t" color="#868686" offset="1pt,0pt" offset2="-2pt,-4pt"/>
            <w10:wrap type="none"/>
            <w10:anchorlock/>
          </v:shape>
        </w:pict>
      </w:r>
    </w:p>
    <w:p>
      <w:pP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4.25pt;width:176.6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rPr>
          <w:rFonts w:ascii="仿宋" w:hAnsi="仿宋" w:eastAsia="仿宋"/>
          <w:b/>
          <w:sz w:val="52"/>
          <w:szCs w:val="52"/>
        </w:rPr>
      </w:pPr>
    </w:p>
    <w:p>
      <w:pPr>
        <w:ind w:firstLine="1767" w:firstLineChars="400"/>
        <w:rPr>
          <w:rFonts w:ascii="仿宋" w:hAnsi="仿宋" w:eastAsia="仿宋"/>
          <w:b/>
          <w:sz w:val="44"/>
          <w:szCs w:val="44"/>
        </w:rPr>
      </w:pPr>
      <w:r>
        <w:rPr>
          <w:rFonts w:hint="eastAsia" w:ascii="仿宋" w:hAnsi="仿宋" w:eastAsia="仿宋"/>
          <w:b/>
          <w:sz w:val="44"/>
          <w:szCs w:val="44"/>
        </w:rPr>
        <w:t>项目名称：沙地柏绿植采购</w:t>
      </w:r>
    </w:p>
    <w:p>
      <w:pPr>
        <w:jc w:val="center"/>
        <w:rPr>
          <w:rFonts w:ascii="仿宋" w:hAnsi="仿宋" w:eastAsia="仿宋"/>
          <w:b/>
          <w:sz w:val="44"/>
          <w:szCs w:val="44"/>
        </w:rPr>
      </w:pPr>
      <w:r>
        <w:rPr>
          <w:rFonts w:hint="eastAsia" w:ascii="仿宋" w:hAnsi="仿宋" w:eastAsia="仿宋"/>
          <w:b/>
          <w:sz w:val="44"/>
          <w:szCs w:val="44"/>
        </w:rPr>
        <w:t>项目编号：GCCG/JCGS-22-0</w:t>
      </w:r>
      <w:r>
        <w:rPr>
          <w:rFonts w:hint="eastAsia" w:ascii="仿宋" w:hAnsi="仿宋" w:eastAsia="仿宋"/>
          <w:b/>
          <w:sz w:val="44"/>
          <w:szCs w:val="44"/>
          <w:lang w:val="en-US" w:eastAsia="zh-CN"/>
        </w:rPr>
        <w:t>6</w:t>
      </w:r>
      <w:r>
        <w:rPr>
          <w:rFonts w:hint="eastAsia" w:ascii="仿宋" w:hAnsi="仿宋" w:eastAsia="仿宋"/>
          <w:b/>
          <w:sz w:val="44"/>
          <w:szCs w:val="44"/>
        </w:rPr>
        <w:t>-N</w:t>
      </w:r>
    </w:p>
    <w:p>
      <w:pPr>
        <w:widowControl/>
        <w:jc w:val="center"/>
        <w:rPr>
          <w:rFonts w:ascii="方正小标宋简体" w:hAnsi="仿宋" w:eastAsia="方正小标宋简体"/>
          <w:sz w:val="44"/>
          <w:szCs w:val="44"/>
        </w:rPr>
      </w:pPr>
    </w:p>
    <w:p>
      <w:pPr>
        <w:pStyle w:val="2"/>
      </w:pPr>
    </w:p>
    <w:p>
      <w:pPr>
        <w:pStyle w:val="2"/>
      </w:pPr>
    </w:p>
    <w:p>
      <w:pPr>
        <w:pStyle w:val="2"/>
      </w:pPr>
    </w:p>
    <w:p>
      <w:pPr>
        <w:pStyle w:val="2"/>
      </w:pPr>
    </w:p>
    <w:p>
      <w:pPr>
        <w:widowControl/>
        <w:jc w:val="center"/>
        <w:rPr>
          <w:rFonts w:ascii="方正小标宋简体" w:hAnsi="仿宋" w:eastAsia="方正小标宋简体"/>
          <w:sz w:val="44"/>
          <w:szCs w:val="44"/>
        </w:rPr>
      </w:pPr>
      <w:r>
        <w:rPr>
          <w:rFonts w:hint="eastAsia" w:ascii="方正小标宋简体" w:hAnsi="仿宋" w:eastAsia="方正小标宋简体"/>
          <w:sz w:val="44"/>
          <w:szCs w:val="44"/>
        </w:rPr>
        <w:t>目录</w:t>
      </w:r>
    </w:p>
    <w:p>
      <w:pPr>
        <w:pStyle w:val="10"/>
        <w:tabs>
          <w:tab w:val="right" w:leader="dot" w:pos="9752"/>
        </w:tabs>
        <w:rPr>
          <w:rFonts w:ascii="仿宋_GB2312" w:hAnsi="仿宋_GB2312" w:eastAsia="仿宋_GB2312" w:cs="仿宋_GB2312"/>
          <w:sz w:val="32"/>
          <w:szCs w:val="32"/>
        </w:rPr>
      </w:pPr>
      <w:r>
        <w:rPr>
          <w:rFonts w:hint="eastAsia" w:ascii="仿宋_GB2312" w:hAnsi="仿宋_GB2312" w:eastAsia="仿宋_GB2312" w:cs="仿宋_GB2312"/>
          <w:snapToGrid w:val="0"/>
          <w:w w:val="80"/>
          <w:kern w:val="0"/>
          <w:sz w:val="32"/>
          <w:szCs w:val="32"/>
        </w:rPr>
        <w:fldChar w:fldCharType="begin"/>
      </w:r>
      <w:r>
        <w:rPr>
          <w:rFonts w:hint="eastAsia" w:ascii="仿宋_GB2312" w:hAnsi="仿宋_GB2312" w:eastAsia="仿宋_GB2312" w:cs="仿宋_GB2312"/>
          <w:snapToGrid w:val="0"/>
          <w:w w:val="80"/>
          <w:kern w:val="0"/>
          <w:sz w:val="32"/>
          <w:szCs w:val="32"/>
        </w:rPr>
        <w:instrText xml:space="preserve"> TOC \o "1-3" \h \z \u </w:instrText>
      </w:r>
      <w:r>
        <w:rPr>
          <w:rFonts w:hint="eastAsia" w:ascii="仿宋_GB2312" w:hAnsi="仿宋_GB2312" w:eastAsia="仿宋_GB2312" w:cs="仿宋_GB2312"/>
          <w:snapToGrid w:val="0"/>
          <w:w w:val="80"/>
          <w:kern w:val="0"/>
          <w:sz w:val="32"/>
          <w:szCs w:val="32"/>
        </w:rPr>
        <w:fldChar w:fldCharType="separate"/>
      </w:r>
      <w:r>
        <w:fldChar w:fldCharType="begin"/>
      </w:r>
      <w:r>
        <w:instrText xml:space="preserve"> HYPERLINK \l "_Toc11124" </w:instrText>
      </w:r>
      <w:r>
        <w:fldChar w:fldCharType="separate"/>
      </w:r>
      <w:r>
        <w:rPr>
          <w:rFonts w:hint="eastAsia" w:ascii="仿宋_GB2312" w:hAnsi="仿宋_GB2312" w:eastAsia="仿宋_GB2312" w:cs="仿宋_GB2312"/>
          <w:sz w:val="32"/>
          <w:szCs w:val="32"/>
        </w:rPr>
        <w:t>第一章 竞争性磋商公告</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_Toc11124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1"/>
        <w:tabs>
          <w:tab w:val="right" w:leader="dot" w:pos="9752"/>
        </w:tabs>
        <w:rPr>
          <w:rFonts w:ascii="仿宋_GB2312" w:hAnsi="仿宋_GB2312" w:eastAsia="仿宋_GB2312" w:cs="仿宋_GB2312"/>
          <w:sz w:val="32"/>
          <w:szCs w:val="32"/>
        </w:rPr>
      </w:pPr>
      <w:r>
        <w:fldChar w:fldCharType="begin"/>
      </w:r>
      <w:r>
        <w:instrText xml:space="preserve"> HYPERLINK \l "_Toc15100" </w:instrText>
      </w:r>
      <w:r>
        <w:fldChar w:fldCharType="separate"/>
      </w:r>
      <w:r>
        <w:rPr>
          <w:rFonts w:hint="eastAsia" w:ascii="仿宋_GB2312" w:hAnsi="仿宋_GB2312" w:eastAsia="仿宋_GB2312" w:cs="仿宋_GB2312"/>
          <w:sz w:val="32"/>
          <w:szCs w:val="32"/>
        </w:rPr>
        <w:t>一、项目概况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_Toc15100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1"/>
        <w:tabs>
          <w:tab w:val="right" w:leader="dot" w:pos="9752"/>
        </w:tabs>
        <w:rPr>
          <w:rFonts w:ascii="仿宋_GB2312" w:hAnsi="仿宋_GB2312" w:eastAsia="仿宋_GB2312" w:cs="仿宋_GB2312"/>
          <w:sz w:val="32"/>
          <w:szCs w:val="32"/>
        </w:rPr>
      </w:pPr>
      <w:r>
        <w:fldChar w:fldCharType="begin"/>
      </w:r>
      <w:r>
        <w:instrText xml:space="preserve"> HYPERLINK \l "_Toc17607" </w:instrText>
      </w:r>
      <w:r>
        <w:fldChar w:fldCharType="separate"/>
      </w:r>
      <w:r>
        <w:rPr>
          <w:rFonts w:hint="eastAsia" w:ascii="仿宋_GB2312" w:hAnsi="仿宋_GB2312" w:eastAsia="仿宋_GB2312" w:cs="仿宋_GB2312"/>
          <w:sz w:val="32"/>
          <w:szCs w:val="32"/>
        </w:rPr>
        <w:t>二、供应商的资格要求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_Toc17607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1"/>
        <w:tabs>
          <w:tab w:val="right" w:leader="dot" w:pos="9752"/>
        </w:tabs>
        <w:rPr>
          <w:rFonts w:ascii="仿宋_GB2312" w:hAnsi="仿宋_GB2312" w:eastAsia="仿宋_GB2312" w:cs="仿宋_GB2312"/>
          <w:sz w:val="32"/>
          <w:szCs w:val="32"/>
        </w:rPr>
      </w:pPr>
      <w:r>
        <w:fldChar w:fldCharType="begin"/>
      </w:r>
      <w:r>
        <w:instrText xml:space="preserve"> HYPERLINK \l "_Toc11632" </w:instrText>
      </w:r>
      <w:r>
        <w:fldChar w:fldCharType="separate"/>
      </w:r>
      <w:r>
        <w:rPr>
          <w:rFonts w:hint="eastAsia" w:ascii="仿宋_GB2312" w:hAnsi="仿宋_GB2312" w:eastAsia="仿宋_GB2312" w:cs="仿宋_GB2312"/>
          <w:sz w:val="32"/>
          <w:szCs w:val="32"/>
        </w:rPr>
        <w:t>三、获取采购文件的时间、地点、方式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_Toc11632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1"/>
        <w:tabs>
          <w:tab w:val="right" w:leader="dot" w:pos="9752"/>
        </w:tabs>
        <w:rPr>
          <w:rFonts w:ascii="仿宋_GB2312" w:hAnsi="仿宋_GB2312" w:eastAsia="仿宋_GB2312" w:cs="仿宋_GB2312"/>
          <w:sz w:val="32"/>
          <w:szCs w:val="32"/>
        </w:rPr>
      </w:pPr>
      <w:r>
        <w:fldChar w:fldCharType="begin"/>
      </w:r>
      <w:r>
        <w:instrText xml:space="preserve"> HYPERLINK \l "_Toc5063" </w:instrText>
      </w:r>
      <w:r>
        <w:fldChar w:fldCharType="separate"/>
      </w:r>
      <w:r>
        <w:rPr>
          <w:rFonts w:hint="eastAsia" w:ascii="仿宋_GB2312" w:hAnsi="仿宋_GB2312" w:eastAsia="仿宋_GB2312" w:cs="仿宋_GB2312"/>
          <w:sz w:val="32"/>
          <w:szCs w:val="32"/>
        </w:rPr>
        <w:t>四、递交响应文件截止（评标）时间、地点</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_Toc5063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1"/>
        <w:tabs>
          <w:tab w:val="right" w:leader="dot" w:pos="9752"/>
        </w:tabs>
        <w:rPr>
          <w:rFonts w:ascii="仿宋_GB2312" w:hAnsi="仿宋_GB2312" w:eastAsia="仿宋_GB2312" w:cs="仿宋_GB2312"/>
          <w:sz w:val="32"/>
          <w:szCs w:val="32"/>
        </w:rPr>
      </w:pPr>
      <w:r>
        <w:fldChar w:fldCharType="begin"/>
      </w:r>
      <w:r>
        <w:instrText xml:space="preserve"> HYPERLINK \l "_Toc10363" </w:instrText>
      </w:r>
      <w:r>
        <w:fldChar w:fldCharType="separate"/>
      </w:r>
      <w:r>
        <w:rPr>
          <w:rFonts w:hint="eastAsia" w:ascii="仿宋_GB2312" w:hAnsi="仿宋_GB2312" w:eastAsia="仿宋_GB2312" w:cs="仿宋_GB2312"/>
          <w:sz w:val="32"/>
          <w:szCs w:val="32"/>
        </w:rPr>
        <w:t>五、联系方式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_Toc10363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ascii="仿宋_GB2312" w:hAnsi="仿宋_GB2312" w:eastAsia="仿宋_GB2312" w:cs="仿宋_GB2312"/>
          <w:sz w:val="32"/>
          <w:szCs w:val="32"/>
        </w:rPr>
      </w:pPr>
      <w:r>
        <w:fldChar w:fldCharType="begin"/>
      </w:r>
      <w:r>
        <w:instrText xml:space="preserve"> HYPERLINK \l "_Toc22820" </w:instrText>
      </w:r>
      <w:r>
        <w:fldChar w:fldCharType="separate"/>
      </w:r>
      <w:r>
        <w:rPr>
          <w:rFonts w:hint="eastAsia" w:ascii="仿宋_GB2312" w:hAnsi="仿宋_GB2312" w:eastAsia="仿宋_GB2312" w:cs="仿宋_GB2312"/>
          <w:sz w:val="32"/>
          <w:szCs w:val="32"/>
        </w:rPr>
        <w:t>第二章  采购内容与技术要求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_Toc22820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1"/>
        <w:tabs>
          <w:tab w:val="right" w:leader="dot" w:pos="9752"/>
        </w:tabs>
        <w:rPr>
          <w:rFonts w:ascii="仿宋_GB2312" w:hAnsi="仿宋_GB2312" w:eastAsia="仿宋_GB2312" w:cs="仿宋_GB2312"/>
          <w:sz w:val="32"/>
          <w:szCs w:val="32"/>
        </w:rPr>
      </w:pPr>
      <w:r>
        <w:fldChar w:fldCharType="begin"/>
      </w:r>
      <w:r>
        <w:instrText xml:space="preserve"> HYPERLINK \l "_Toc26889" </w:instrText>
      </w:r>
      <w:r>
        <w:fldChar w:fldCharType="separate"/>
      </w:r>
      <w:r>
        <w:rPr>
          <w:rFonts w:hint="eastAsia" w:ascii="仿宋_GB2312" w:hAnsi="仿宋_GB2312" w:eastAsia="仿宋_GB2312" w:cs="仿宋_GB2312"/>
          <w:sz w:val="32"/>
          <w:szCs w:val="32"/>
        </w:rPr>
        <w:t>一、项目说明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_Toc26889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ascii="仿宋_GB2312" w:hAnsi="仿宋_GB2312" w:eastAsia="仿宋_GB2312" w:cs="仿宋_GB2312"/>
          <w:sz w:val="32"/>
          <w:szCs w:val="32"/>
        </w:rPr>
      </w:pPr>
      <w:r>
        <w:fldChar w:fldCharType="begin"/>
      </w:r>
      <w:r>
        <w:instrText xml:space="preserve"> HYPERLINK \l "_Toc22775" </w:instrText>
      </w:r>
      <w:r>
        <w:fldChar w:fldCharType="separate"/>
      </w:r>
      <w:r>
        <w:rPr>
          <w:rFonts w:hint="eastAsia" w:ascii="仿宋_GB2312" w:hAnsi="仿宋_GB2312" w:eastAsia="仿宋_GB2312" w:cs="仿宋_GB2312"/>
          <w:sz w:val="32"/>
          <w:szCs w:val="32"/>
        </w:rPr>
        <w:t>第三章 投标人须知</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_Toc22775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1"/>
        <w:tabs>
          <w:tab w:val="right" w:leader="dot" w:pos="9752"/>
        </w:tabs>
        <w:rPr>
          <w:rFonts w:ascii="仿宋_GB2312" w:hAnsi="仿宋_GB2312" w:eastAsia="仿宋_GB2312" w:cs="仿宋_GB2312"/>
          <w:sz w:val="32"/>
          <w:szCs w:val="32"/>
        </w:rPr>
      </w:pPr>
      <w:r>
        <w:fldChar w:fldCharType="begin"/>
      </w:r>
      <w:r>
        <w:instrText xml:space="preserve"> HYPERLINK \l "_Toc14830" </w:instrText>
      </w:r>
      <w:r>
        <w:fldChar w:fldCharType="separate"/>
      </w:r>
      <w:r>
        <w:rPr>
          <w:rFonts w:hint="eastAsia" w:ascii="仿宋_GB2312" w:hAnsi="仿宋_GB2312" w:eastAsia="仿宋_GB2312" w:cs="仿宋_GB2312"/>
          <w:sz w:val="32"/>
          <w:szCs w:val="32"/>
        </w:rPr>
        <w:t>一、供应商资格要求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_Toc14830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1"/>
        <w:tabs>
          <w:tab w:val="right" w:leader="dot" w:pos="9752"/>
        </w:tabs>
        <w:rPr>
          <w:rFonts w:ascii="仿宋_GB2312" w:hAnsi="仿宋_GB2312" w:eastAsia="仿宋_GB2312" w:cs="仿宋_GB2312"/>
          <w:sz w:val="32"/>
          <w:szCs w:val="32"/>
        </w:rPr>
      </w:pPr>
      <w:r>
        <w:fldChar w:fldCharType="begin"/>
      </w:r>
      <w:r>
        <w:instrText xml:space="preserve"> HYPERLINK \l "_Toc17208" </w:instrText>
      </w:r>
      <w:r>
        <w:fldChar w:fldCharType="separate"/>
      </w:r>
      <w:r>
        <w:rPr>
          <w:rFonts w:hint="eastAsia" w:ascii="仿宋_GB2312" w:hAnsi="仿宋_GB2312" w:eastAsia="仿宋_GB2312" w:cs="仿宋_GB2312"/>
          <w:sz w:val="32"/>
          <w:szCs w:val="32"/>
        </w:rPr>
        <w:t>二、响应文件的构成</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_Toc17208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1"/>
        <w:tabs>
          <w:tab w:val="right" w:leader="dot" w:pos="9752"/>
        </w:tabs>
        <w:rPr>
          <w:rFonts w:ascii="仿宋_GB2312" w:hAnsi="仿宋_GB2312" w:eastAsia="仿宋_GB2312" w:cs="仿宋_GB2312"/>
          <w:sz w:val="32"/>
          <w:szCs w:val="32"/>
        </w:rPr>
      </w:pPr>
      <w:r>
        <w:fldChar w:fldCharType="begin"/>
      </w:r>
      <w:r>
        <w:instrText xml:space="preserve"> HYPERLINK \l "_Toc19260" </w:instrText>
      </w:r>
      <w:r>
        <w:fldChar w:fldCharType="separate"/>
      </w:r>
      <w:r>
        <w:rPr>
          <w:rFonts w:hint="eastAsia" w:ascii="仿宋_GB2312" w:hAnsi="仿宋_GB2312" w:eastAsia="仿宋_GB2312" w:cs="仿宋_GB2312"/>
          <w:sz w:val="32"/>
          <w:szCs w:val="32"/>
        </w:rPr>
        <w:t>三、评标与中标</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_Toc19260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ascii="仿宋_GB2312" w:hAnsi="仿宋_GB2312" w:eastAsia="仿宋_GB2312" w:cs="仿宋_GB2312"/>
          <w:sz w:val="32"/>
          <w:szCs w:val="32"/>
        </w:rPr>
      </w:pPr>
      <w:r>
        <w:fldChar w:fldCharType="begin"/>
      </w:r>
      <w:r>
        <w:instrText xml:space="preserve"> HYPERLINK \l "_Toc3641" </w:instrText>
      </w:r>
      <w:r>
        <w:fldChar w:fldCharType="separate"/>
      </w:r>
      <w:r>
        <w:rPr>
          <w:rFonts w:hint="eastAsia" w:ascii="仿宋_GB2312" w:hAnsi="仿宋_GB2312" w:eastAsia="仿宋_GB2312" w:cs="仿宋_GB2312"/>
          <w:sz w:val="32"/>
          <w:szCs w:val="32"/>
        </w:rPr>
        <w:t>第四章 响应文件格式与要求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_Toc3641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widowControl/>
        <w:spacing w:line="400" w:lineRule="exact"/>
        <w:rPr>
          <w:rFonts w:ascii="仿宋_GB2312" w:hAnsi="仿宋_GB2312" w:eastAsia="仿宋_GB2312" w:cs="仿宋_GB2312"/>
          <w:snapToGrid w:val="0"/>
          <w:w w:val="80"/>
          <w:kern w:val="0"/>
          <w:sz w:val="40"/>
          <w:szCs w:val="56"/>
        </w:rPr>
      </w:pPr>
      <w:r>
        <w:rPr>
          <w:rFonts w:hint="eastAsia" w:ascii="仿宋_GB2312" w:hAnsi="仿宋_GB2312" w:eastAsia="仿宋_GB2312" w:cs="仿宋_GB2312"/>
          <w:snapToGrid w:val="0"/>
          <w:w w:val="80"/>
          <w:kern w:val="0"/>
          <w:sz w:val="32"/>
          <w:szCs w:val="32"/>
        </w:rPr>
        <w:fldChar w:fldCharType="end"/>
      </w:r>
    </w:p>
    <w:p>
      <w:pPr>
        <w:pStyle w:val="5"/>
        <w:rPr>
          <w:rFonts w:ascii="仿宋_GB2312" w:hAnsi="仿宋_GB2312" w:eastAsia="仿宋_GB2312" w:cs="仿宋_GB2312"/>
          <w:snapToGrid w:val="0"/>
          <w:w w:val="80"/>
          <w:kern w:val="0"/>
          <w:sz w:val="40"/>
          <w:szCs w:val="56"/>
        </w:rPr>
      </w:pPr>
    </w:p>
    <w:p>
      <w:pPr>
        <w:pStyle w:val="5"/>
        <w:rPr>
          <w:rFonts w:ascii="仿宋_GB2312" w:hAnsi="仿宋_GB2312" w:eastAsia="仿宋_GB2312" w:cs="仿宋_GB2312"/>
          <w:snapToGrid w:val="0"/>
          <w:w w:val="80"/>
          <w:kern w:val="0"/>
          <w:sz w:val="40"/>
          <w:szCs w:val="56"/>
        </w:rPr>
      </w:pPr>
    </w:p>
    <w:p>
      <w:pPr>
        <w:pStyle w:val="5"/>
        <w:rPr>
          <w:rFonts w:ascii="仿宋_GB2312" w:hAnsi="仿宋_GB2312" w:eastAsia="仿宋_GB2312" w:cs="仿宋_GB2312"/>
          <w:snapToGrid w:val="0"/>
          <w:w w:val="80"/>
          <w:kern w:val="0"/>
          <w:sz w:val="40"/>
          <w:szCs w:val="56"/>
        </w:rPr>
      </w:pPr>
    </w:p>
    <w:p>
      <w:pPr>
        <w:pStyle w:val="5"/>
        <w:rPr>
          <w:rFonts w:ascii="仿宋_GB2312" w:hAnsi="仿宋_GB2312" w:eastAsia="仿宋_GB2312" w:cs="仿宋_GB2312"/>
          <w:snapToGrid w:val="0"/>
          <w:w w:val="80"/>
          <w:kern w:val="0"/>
          <w:sz w:val="40"/>
          <w:szCs w:val="56"/>
        </w:rPr>
      </w:pPr>
    </w:p>
    <w:p>
      <w:pPr>
        <w:pStyle w:val="5"/>
        <w:rPr>
          <w:rFonts w:ascii="仿宋_GB2312" w:hAnsi="仿宋_GB2312" w:eastAsia="仿宋_GB2312" w:cs="仿宋_GB2312"/>
          <w:snapToGrid w:val="0"/>
          <w:w w:val="80"/>
          <w:kern w:val="0"/>
          <w:sz w:val="40"/>
          <w:szCs w:val="56"/>
        </w:rPr>
      </w:pPr>
    </w:p>
    <w:p/>
    <w:p/>
    <w:p/>
    <w:p>
      <w:pPr>
        <w:pStyle w:val="3"/>
        <w:spacing w:line="360" w:lineRule="auto"/>
        <w:rPr>
          <w:rFonts w:ascii="仿宋_GB2312" w:hAnsi="仿宋"/>
          <w:kern w:val="2"/>
        </w:rPr>
      </w:pPr>
      <w:bookmarkStart w:id="0" w:name="_Toc11124"/>
      <w:r>
        <w:rPr>
          <w:rFonts w:hint="eastAsia" w:ascii="仿宋_GB2312" w:hAnsi="仿宋"/>
          <w:kern w:val="2"/>
        </w:rPr>
        <w:t>第一章 竞争性磋商公告</w:t>
      </w:r>
      <w:bookmarkEnd w:id="0"/>
    </w:p>
    <w:p>
      <w:pPr>
        <w:ind w:firstLine="960" w:firstLineChars="300"/>
        <w:rPr>
          <w:rFonts w:ascii="仿宋_GB2312" w:hAnsi="仿宋" w:eastAsia="仿宋_GB2312" w:cs="Times New Roman"/>
          <w:sz w:val="32"/>
          <w:szCs w:val="32"/>
        </w:rPr>
      </w:pPr>
      <w:r>
        <w:rPr>
          <w:rFonts w:hint="eastAsia" w:ascii="仿宋_GB2312" w:hAnsi="仿宋" w:eastAsia="仿宋_GB2312" w:cs="Times New Roman"/>
          <w:sz w:val="32"/>
          <w:szCs w:val="32"/>
        </w:rPr>
        <w:t>鄂尔多斯伊金霍洛国际机场有限公司拟采用竞争性磋商的方式进行沙地柏</w:t>
      </w:r>
      <w:r>
        <w:rPr>
          <w:rFonts w:hint="eastAsia" w:ascii="仿宋_GB2312" w:hAnsi="仿宋" w:eastAsia="仿宋_GB2312" w:cs="Times New Roman"/>
          <w:sz w:val="32"/>
          <w:szCs w:val="32"/>
          <w:lang w:eastAsia="zh-CN"/>
        </w:rPr>
        <w:t>绿植</w:t>
      </w:r>
      <w:r>
        <w:rPr>
          <w:rFonts w:hint="eastAsia" w:ascii="仿宋_GB2312" w:hAnsi="仿宋" w:eastAsia="仿宋_GB2312" w:cs="Times New Roman"/>
          <w:sz w:val="32"/>
          <w:szCs w:val="32"/>
        </w:rPr>
        <w:t>采购项目。</w:t>
      </w:r>
    </w:p>
    <w:p>
      <w:pPr>
        <w:pStyle w:val="4"/>
        <w:spacing w:line="360" w:lineRule="auto"/>
        <w:ind w:firstLine="562" w:firstLineChars="200"/>
        <w:rPr>
          <w:rFonts w:ascii="仿宋" w:hAnsi="仿宋" w:eastAsia="仿宋"/>
          <w:sz w:val="28"/>
          <w:szCs w:val="28"/>
        </w:rPr>
      </w:pPr>
      <w:bookmarkStart w:id="1" w:name="_Toc15100"/>
      <w:r>
        <w:rPr>
          <w:rFonts w:hint="eastAsia" w:ascii="仿宋" w:hAnsi="仿宋" w:eastAsia="仿宋"/>
          <w:sz w:val="28"/>
          <w:szCs w:val="28"/>
        </w:rPr>
        <w:t>一、项目概况</w:t>
      </w:r>
      <w:bookmarkEnd w:id="1"/>
    </w:p>
    <w:p>
      <w:pPr>
        <w:pStyle w:val="6"/>
        <w:spacing w:line="360" w:lineRule="auto"/>
        <w:ind w:firstLine="960" w:firstLineChars="300"/>
        <w:rPr>
          <w:rFonts w:ascii="仿宋_GB2312" w:hAnsi="仿宋" w:eastAsia="仿宋_GB2312" w:cs="Times New Roman"/>
          <w:kern w:val="2"/>
          <w:sz w:val="32"/>
          <w:szCs w:val="32"/>
        </w:rPr>
      </w:pPr>
      <w:r>
        <w:rPr>
          <w:rFonts w:hint="eastAsia" w:ascii="仿宋_GB2312" w:hAnsi="仿宋" w:eastAsia="仿宋_GB2312" w:cs="Times New Roman"/>
          <w:kern w:val="2"/>
          <w:sz w:val="32"/>
          <w:szCs w:val="32"/>
        </w:rPr>
        <w:t>（一）项目名称：沙地柏</w:t>
      </w:r>
      <w:r>
        <w:rPr>
          <w:rFonts w:hint="eastAsia" w:ascii="仿宋_GB2312" w:hAnsi="仿宋" w:eastAsia="仿宋_GB2312" w:cs="Times New Roman"/>
          <w:kern w:val="2"/>
          <w:sz w:val="32"/>
          <w:szCs w:val="32"/>
          <w:lang w:eastAsia="zh-CN"/>
        </w:rPr>
        <w:t>绿植</w:t>
      </w:r>
      <w:r>
        <w:rPr>
          <w:rFonts w:hint="eastAsia" w:ascii="仿宋_GB2312" w:hAnsi="仿宋" w:eastAsia="仿宋_GB2312" w:cs="Times New Roman"/>
          <w:kern w:val="2"/>
          <w:sz w:val="32"/>
          <w:szCs w:val="32"/>
        </w:rPr>
        <w:t>采购项目</w:t>
      </w:r>
    </w:p>
    <w:p>
      <w:pPr>
        <w:pStyle w:val="6"/>
        <w:spacing w:line="360" w:lineRule="auto"/>
        <w:ind w:firstLine="960" w:firstLineChars="300"/>
        <w:rPr>
          <w:rFonts w:ascii="仿宋_GB2312" w:hAnsi="仿宋" w:eastAsia="仿宋_GB2312" w:cs="Times New Roman"/>
          <w:kern w:val="2"/>
          <w:sz w:val="32"/>
          <w:szCs w:val="32"/>
        </w:rPr>
      </w:pPr>
      <w:r>
        <w:rPr>
          <w:rFonts w:hint="eastAsia" w:ascii="仿宋_GB2312" w:hAnsi="仿宋" w:eastAsia="仿宋_GB2312" w:cs="Times New Roman"/>
          <w:kern w:val="2"/>
          <w:sz w:val="32"/>
          <w:szCs w:val="32"/>
        </w:rPr>
        <w:t>（二）项目编号：GCCG/JCGS-22-0</w:t>
      </w:r>
      <w:r>
        <w:rPr>
          <w:rFonts w:hint="eastAsia" w:ascii="仿宋_GB2312" w:hAnsi="仿宋" w:eastAsia="仿宋_GB2312" w:cs="Times New Roman"/>
          <w:kern w:val="2"/>
          <w:sz w:val="32"/>
          <w:szCs w:val="32"/>
          <w:lang w:val="en-US" w:eastAsia="zh-CN"/>
        </w:rPr>
        <w:t>6</w:t>
      </w:r>
      <w:r>
        <w:rPr>
          <w:rFonts w:hint="eastAsia" w:ascii="仿宋_GB2312" w:hAnsi="仿宋" w:eastAsia="仿宋_GB2312" w:cs="Times New Roman"/>
          <w:kern w:val="2"/>
          <w:sz w:val="32"/>
          <w:szCs w:val="32"/>
        </w:rPr>
        <w:t>-N</w:t>
      </w:r>
    </w:p>
    <w:p>
      <w:pPr>
        <w:pStyle w:val="6"/>
        <w:spacing w:line="360" w:lineRule="auto"/>
        <w:ind w:left="958" w:leftChars="456"/>
        <w:rPr>
          <w:rFonts w:ascii="仿宋_GB2312" w:hAnsi="仿宋" w:eastAsia="仿宋_GB2312" w:cs="Times New Roman"/>
          <w:kern w:val="2"/>
          <w:sz w:val="32"/>
          <w:szCs w:val="32"/>
        </w:rPr>
      </w:pPr>
      <w:r>
        <w:rPr>
          <w:rFonts w:hint="eastAsia" w:ascii="仿宋_GB2312" w:hAnsi="仿宋" w:eastAsia="仿宋_GB2312" w:cs="Times New Roman"/>
          <w:kern w:val="2"/>
          <w:sz w:val="32"/>
          <w:szCs w:val="32"/>
        </w:rPr>
        <w:t>（三）采购人：鄂尔多斯伊金霍洛国际机场有限公司                   （四）资金来源：企业自筹</w:t>
      </w:r>
    </w:p>
    <w:p>
      <w:pPr>
        <w:pStyle w:val="6"/>
        <w:spacing w:line="360" w:lineRule="auto"/>
        <w:ind w:firstLine="960" w:firstLineChars="300"/>
        <w:rPr>
          <w:rFonts w:ascii="仿宋_GB2312" w:hAnsi="仿宋" w:eastAsia="仿宋_GB2312" w:cs="Times New Roman"/>
          <w:kern w:val="2"/>
          <w:sz w:val="32"/>
          <w:szCs w:val="32"/>
        </w:rPr>
      </w:pPr>
      <w:r>
        <w:rPr>
          <w:rFonts w:hint="eastAsia" w:ascii="仿宋_GB2312" w:hAnsi="仿宋" w:eastAsia="仿宋_GB2312" w:cs="Times New Roman"/>
          <w:kern w:val="2"/>
          <w:sz w:val="32"/>
          <w:szCs w:val="32"/>
        </w:rPr>
        <w:t xml:space="preserve">（五）采购内容： </w:t>
      </w:r>
    </w:p>
    <w:p>
      <w:pPr>
        <w:pStyle w:val="4"/>
        <w:spacing w:line="360" w:lineRule="auto"/>
        <w:rPr>
          <w:rFonts w:ascii="黑体" w:hAnsi="仿宋" w:eastAsia="黑体" w:cs="Times New Roman"/>
        </w:rPr>
      </w:pPr>
      <w:bookmarkStart w:id="2" w:name="_Toc17607"/>
      <w:r>
        <w:rPr>
          <w:rFonts w:hint="eastAsia" w:ascii="黑体" w:hAnsi="仿宋" w:eastAsia="黑体" w:cs="Times New Roman"/>
        </w:rPr>
        <w:t>二、供应商的资格要求</w:t>
      </w:r>
      <w:bookmarkEnd w:id="2"/>
    </w:p>
    <w:p>
      <w:pPr>
        <w:pStyle w:val="44"/>
        <w:spacing w:line="360" w:lineRule="auto"/>
        <w:ind w:firstLine="640" w:firstLineChars="200"/>
        <w:rPr>
          <w:rFonts w:ascii="仿宋_GB2312" w:hAnsi="仿宋" w:eastAsia="仿宋_GB2312"/>
          <w:kern w:val="2"/>
          <w:sz w:val="32"/>
          <w:szCs w:val="32"/>
        </w:rPr>
      </w:pPr>
      <w:r>
        <w:rPr>
          <w:rFonts w:hint="eastAsia" w:ascii="仿宋_GB2312" w:hAnsi="仿宋" w:eastAsia="仿宋_GB2312"/>
          <w:kern w:val="2"/>
          <w:sz w:val="32"/>
          <w:szCs w:val="32"/>
        </w:rPr>
        <w:t>（一）供应商应符合《中华人民共和国政府采购法》第二十二条规定的条件；</w:t>
      </w:r>
    </w:p>
    <w:p>
      <w:pPr>
        <w:pStyle w:val="44"/>
        <w:spacing w:line="360" w:lineRule="auto"/>
        <w:ind w:firstLine="640" w:firstLineChars="200"/>
        <w:rPr>
          <w:rFonts w:ascii="仿宋" w:hAnsi="仿宋" w:eastAsia="仿宋"/>
          <w:color w:val="000000"/>
          <w:sz w:val="28"/>
          <w:szCs w:val="28"/>
        </w:rPr>
      </w:pPr>
      <w:r>
        <w:rPr>
          <w:rFonts w:hint="eastAsia" w:ascii="仿宋_GB2312" w:hAnsi="仿宋" w:eastAsia="仿宋_GB2312"/>
          <w:kern w:val="2"/>
          <w:sz w:val="32"/>
          <w:szCs w:val="32"/>
        </w:rPr>
        <w:t>（二）具有有效的营业资质。</w:t>
      </w:r>
    </w:p>
    <w:p>
      <w:pPr>
        <w:pStyle w:val="44"/>
        <w:spacing w:line="360" w:lineRule="auto"/>
        <w:rPr>
          <w:rFonts w:ascii="黑体" w:hAnsi="仿宋" w:eastAsia="黑体"/>
          <w:b/>
          <w:bCs/>
          <w:sz w:val="32"/>
          <w:szCs w:val="32"/>
        </w:rPr>
      </w:pPr>
      <w:bookmarkStart w:id="3" w:name="_Toc10363"/>
      <w:r>
        <w:rPr>
          <w:rFonts w:hint="eastAsia" w:ascii="黑体" w:hAnsi="仿宋" w:eastAsia="黑体"/>
          <w:b/>
          <w:bCs/>
          <w:sz w:val="32"/>
          <w:szCs w:val="32"/>
        </w:rPr>
        <w:t>三、踏勘现场</w:t>
      </w:r>
    </w:p>
    <w:p>
      <w:pPr>
        <w:pStyle w:val="44"/>
        <w:spacing w:line="360" w:lineRule="auto"/>
        <w:ind w:firstLine="640" w:firstLineChars="200"/>
        <w:rPr>
          <w:rFonts w:ascii="仿宋_GB2312" w:hAnsi="仿宋" w:eastAsia="仿宋_GB2312"/>
          <w:kern w:val="2"/>
          <w:sz w:val="28"/>
          <w:szCs w:val="28"/>
        </w:rPr>
      </w:pPr>
      <w:r>
        <w:rPr>
          <w:rFonts w:hint="eastAsia" w:ascii="仿宋_GB2312" w:hAnsi="仿宋" w:eastAsia="仿宋_GB2312"/>
          <w:kern w:val="2"/>
          <w:sz w:val="32"/>
          <w:szCs w:val="32"/>
        </w:rPr>
        <w:t>施工单位自愿组织现场踏勘</w:t>
      </w:r>
    </w:p>
    <w:p>
      <w:pPr>
        <w:pStyle w:val="44"/>
        <w:spacing w:line="360" w:lineRule="auto"/>
        <w:ind w:firstLine="640" w:firstLineChars="200"/>
        <w:rPr>
          <w:rFonts w:ascii="仿宋_GB2312" w:hAnsi="仿宋" w:eastAsia="仿宋_GB2312"/>
          <w:kern w:val="2"/>
          <w:sz w:val="32"/>
          <w:szCs w:val="32"/>
        </w:rPr>
      </w:pPr>
      <w:bookmarkStart w:id="4" w:name="_Toc425349047"/>
      <w:r>
        <w:rPr>
          <w:rFonts w:hint="eastAsia" w:ascii="仿宋_GB2312" w:hAnsi="仿宋" w:eastAsia="仿宋_GB2312"/>
          <w:kern w:val="2"/>
          <w:sz w:val="32"/>
          <w:szCs w:val="32"/>
        </w:rPr>
        <w:t>（一）投标人踏勘现场发生的费用自理。</w:t>
      </w:r>
    </w:p>
    <w:p>
      <w:pPr>
        <w:pStyle w:val="44"/>
        <w:spacing w:line="360" w:lineRule="auto"/>
        <w:ind w:firstLine="640" w:firstLineChars="200"/>
        <w:rPr>
          <w:rFonts w:ascii="仿宋_GB2312" w:hAnsi="仿宋" w:eastAsia="仿宋_GB2312"/>
          <w:kern w:val="2"/>
          <w:sz w:val="32"/>
          <w:szCs w:val="32"/>
        </w:rPr>
      </w:pPr>
      <w:r>
        <w:rPr>
          <w:rFonts w:hint="eastAsia" w:ascii="仿宋_GB2312" w:hAnsi="仿宋" w:eastAsia="仿宋_GB2312"/>
          <w:kern w:val="2"/>
          <w:sz w:val="32"/>
          <w:szCs w:val="32"/>
        </w:rPr>
        <w:t>（二）除招标人的原因外，投标人自行负责在踏勘现场中所发生的人员伤亡和财产损失。</w:t>
      </w:r>
    </w:p>
    <w:p>
      <w:pPr>
        <w:pStyle w:val="44"/>
        <w:spacing w:line="360" w:lineRule="auto"/>
        <w:ind w:firstLine="640" w:firstLineChars="200"/>
        <w:rPr>
          <w:rFonts w:ascii="仿宋_GB2312" w:hAnsi="仿宋" w:eastAsia="仿宋_GB2312"/>
          <w:kern w:val="2"/>
          <w:sz w:val="32"/>
          <w:szCs w:val="32"/>
        </w:rPr>
      </w:pPr>
      <w:r>
        <w:rPr>
          <w:rFonts w:hint="eastAsia" w:ascii="仿宋_GB2312" w:hAnsi="仿宋" w:eastAsia="仿宋_GB2312"/>
          <w:kern w:val="2"/>
          <w:sz w:val="32"/>
          <w:szCs w:val="32"/>
        </w:rPr>
        <w:t>（三）招标人在踏勘现场中介绍的工程场地和相关的周边环境情况，供投标人在编制投标文件时参考，招标人不对投标人据此做出的判断和决策负责。</w:t>
      </w:r>
    </w:p>
    <w:p>
      <w:pPr>
        <w:pStyle w:val="44"/>
        <w:spacing w:line="360" w:lineRule="auto"/>
        <w:ind w:firstLine="643" w:firstLineChars="200"/>
        <w:rPr>
          <w:rFonts w:ascii="仿宋_GB2312" w:hAnsi="仿宋" w:eastAsia="仿宋_GB2312"/>
          <w:kern w:val="2"/>
          <w:sz w:val="32"/>
          <w:szCs w:val="32"/>
        </w:rPr>
      </w:pPr>
      <w:r>
        <w:rPr>
          <w:rFonts w:hint="eastAsia" w:ascii="仿宋_GB2312" w:hAnsi="仿宋" w:eastAsia="仿宋_GB2312"/>
          <w:b/>
          <w:bCs/>
          <w:kern w:val="2"/>
          <w:sz w:val="32"/>
          <w:szCs w:val="32"/>
        </w:rPr>
        <w:t>（四）获取采购文件的时间、地点、方式</w:t>
      </w:r>
      <w:bookmarkEnd w:id="4"/>
    </w:p>
    <w:p>
      <w:pPr>
        <w:pStyle w:val="44"/>
        <w:spacing w:line="360" w:lineRule="auto"/>
        <w:ind w:firstLine="640" w:firstLineChars="200"/>
        <w:rPr>
          <w:rFonts w:ascii="仿宋_GB2312" w:hAnsi="仿宋" w:eastAsia="仿宋_GB2312"/>
          <w:kern w:val="2"/>
          <w:sz w:val="32"/>
          <w:szCs w:val="32"/>
        </w:rPr>
      </w:pPr>
      <w:r>
        <w:rPr>
          <w:rFonts w:hint="eastAsia" w:ascii="仿宋_GB2312" w:hAnsi="仿宋" w:eastAsia="仿宋_GB2312"/>
          <w:kern w:val="2"/>
          <w:sz w:val="32"/>
          <w:szCs w:val="32"/>
        </w:rPr>
        <w:t xml:space="preserve">符合上述条件的承包商可于2022 年 </w:t>
      </w:r>
      <w:r>
        <w:rPr>
          <w:rFonts w:hint="eastAsia" w:ascii="仿宋_GB2312" w:hAnsi="仿宋" w:eastAsia="仿宋_GB2312"/>
          <w:kern w:val="2"/>
          <w:sz w:val="32"/>
          <w:szCs w:val="32"/>
          <w:lang w:val="en-US" w:eastAsia="zh-CN"/>
        </w:rPr>
        <w:t>5</w:t>
      </w:r>
      <w:r>
        <w:rPr>
          <w:rFonts w:hint="eastAsia" w:ascii="仿宋_GB2312" w:hAnsi="仿宋" w:eastAsia="仿宋_GB2312"/>
          <w:kern w:val="2"/>
          <w:sz w:val="32"/>
          <w:szCs w:val="32"/>
        </w:rPr>
        <w:t xml:space="preserve"> 月 </w:t>
      </w:r>
      <w:r>
        <w:rPr>
          <w:rFonts w:hint="eastAsia" w:ascii="仿宋_GB2312" w:hAnsi="仿宋" w:eastAsia="仿宋_GB2312"/>
          <w:kern w:val="2"/>
          <w:sz w:val="32"/>
          <w:szCs w:val="32"/>
          <w:lang w:val="en-US" w:eastAsia="zh-CN"/>
        </w:rPr>
        <w:t>30</w:t>
      </w:r>
      <w:r>
        <w:rPr>
          <w:rFonts w:hint="eastAsia" w:ascii="仿宋_GB2312" w:hAnsi="仿宋" w:eastAsia="仿宋_GB2312"/>
          <w:kern w:val="2"/>
          <w:sz w:val="32"/>
          <w:szCs w:val="32"/>
        </w:rPr>
        <w:t xml:space="preserve"> 日起登录鄂尔多斯机场管理集团有限公司网站页面（网址：http://ordosairport.com/），点击“公告”栏中的“招标信息”栏，查询采购信息，点击信息公告页面左下角“附件”即可浏览、下载采购文件。</w:t>
      </w:r>
    </w:p>
    <w:p>
      <w:pPr>
        <w:pStyle w:val="4"/>
        <w:spacing w:line="360" w:lineRule="auto"/>
        <w:rPr>
          <w:rFonts w:ascii="黑体" w:hAnsi="仿宋" w:eastAsia="黑体"/>
        </w:rPr>
      </w:pPr>
      <w:bookmarkStart w:id="5" w:name="_Toc425349048"/>
      <w:r>
        <w:rPr>
          <w:rFonts w:hint="eastAsia" w:ascii="黑体" w:hAnsi="仿宋" w:eastAsia="黑体"/>
        </w:rPr>
        <w:t>五、递交响应文件截止（评标）时间、地点</w:t>
      </w:r>
      <w:bookmarkEnd w:id="5"/>
    </w:p>
    <w:p>
      <w:pPr>
        <w:pStyle w:val="45"/>
        <w:spacing w:line="360" w:lineRule="auto"/>
        <w:ind w:firstLine="640" w:firstLineChars="200"/>
        <w:rPr>
          <w:rFonts w:hint="eastAsia" w:ascii="仿宋_GB2312" w:hAnsi="仿宋" w:eastAsia="仿宋_GB2312"/>
          <w:kern w:val="2"/>
          <w:sz w:val="32"/>
          <w:szCs w:val="32"/>
        </w:rPr>
      </w:pPr>
      <w:r>
        <w:rPr>
          <w:rFonts w:hint="eastAsia" w:ascii="仿宋_GB2312" w:hAnsi="仿宋" w:eastAsia="仿宋_GB2312"/>
          <w:kern w:val="2"/>
          <w:sz w:val="32"/>
          <w:szCs w:val="32"/>
        </w:rPr>
        <w:t xml:space="preserve">点击信息公告页面正下方蓝色栏“我要报名”，填写准确的企业信息，报名截止时间：2022年  </w:t>
      </w:r>
      <w:r>
        <w:rPr>
          <w:rFonts w:hint="eastAsia" w:ascii="仿宋_GB2312" w:hAnsi="仿宋" w:eastAsia="仿宋_GB2312"/>
          <w:kern w:val="2"/>
          <w:sz w:val="32"/>
          <w:szCs w:val="32"/>
          <w:lang w:val="en-US" w:eastAsia="zh-CN"/>
        </w:rPr>
        <w:t xml:space="preserve">6 </w:t>
      </w:r>
      <w:r>
        <w:rPr>
          <w:rFonts w:hint="eastAsia" w:ascii="仿宋_GB2312" w:hAnsi="仿宋" w:eastAsia="仿宋_GB2312"/>
          <w:kern w:val="2"/>
          <w:sz w:val="32"/>
          <w:szCs w:val="32"/>
        </w:rPr>
        <w:t xml:space="preserve">月 </w:t>
      </w:r>
      <w:r>
        <w:rPr>
          <w:rFonts w:hint="eastAsia" w:ascii="仿宋_GB2312" w:hAnsi="仿宋" w:eastAsia="仿宋_GB2312"/>
          <w:kern w:val="2"/>
          <w:sz w:val="32"/>
          <w:szCs w:val="32"/>
          <w:lang w:val="en-US" w:eastAsia="zh-CN"/>
        </w:rPr>
        <w:t>1</w:t>
      </w:r>
      <w:r>
        <w:rPr>
          <w:rFonts w:hint="eastAsia" w:ascii="仿宋_GB2312" w:hAnsi="仿宋" w:eastAsia="仿宋_GB2312"/>
          <w:kern w:val="2"/>
          <w:sz w:val="32"/>
          <w:szCs w:val="32"/>
        </w:rPr>
        <w:t xml:space="preserve"> 日下午17:00  递交响应文件截止（评标）时间：2022年 </w:t>
      </w:r>
      <w:r>
        <w:rPr>
          <w:rFonts w:hint="eastAsia" w:ascii="仿宋_GB2312" w:hAnsi="仿宋" w:eastAsia="仿宋_GB2312"/>
          <w:kern w:val="2"/>
          <w:sz w:val="32"/>
          <w:szCs w:val="32"/>
          <w:lang w:val="en-US" w:eastAsia="zh-CN"/>
        </w:rPr>
        <w:t>6</w:t>
      </w:r>
      <w:r>
        <w:rPr>
          <w:rFonts w:hint="eastAsia" w:ascii="仿宋_GB2312" w:hAnsi="仿宋" w:eastAsia="仿宋_GB2312"/>
          <w:kern w:val="2"/>
          <w:sz w:val="32"/>
          <w:szCs w:val="32"/>
        </w:rPr>
        <w:t xml:space="preserve"> 月 </w:t>
      </w:r>
      <w:r>
        <w:rPr>
          <w:rFonts w:hint="eastAsia" w:ascii="仿宋_GB2312" w:hAnsi="仿宋" w:eastAsia="仿宋_GB2312"/>
          <w:kern w:val="2"/>
          <w:sz w:val="32"/>
          <w:szCs w:val="32"/>
          <w:lang w:val="en-US" w:eastAsia="zh-CN"/>
        </w:rPr>
        <w:t>2</w:t>
      </w:r>
      <w:r>
        <w:rPr>
          <w:rFonts w:hint="eastAsia" w:ascii="仿宋_GB2312" w:hAnsi="仿宋" w:eastAsia="仿宋_GB2312"/>
          <w:kern w:val="2"/>
          <w:sz w:val="32"/>
          <w:szCs w:val="32"/>
        </w:rPr>
        <w:t>日</w:t>
      </w:r>
      <w:r>
        <w:rPr>
          <w:rFonts w:hint="eastAsia" w:ascii="仿宋_GB2312" w:hAnsi="仿宋" w:eastAsia="仿宋_GB2312"/>
          <w:kern w:val="2"/>
          <w:sz w:val="32"/>
          <w:szCs w:val="32"/>
          <w:lang w:eastAsia="zh-CN"/>
        </w:rPr>
        <w:t>上</w:t>
      </w:r>
      <w:r>
        <w:rPr>
          <w:rFonts w:hint="eastAsia" w:ascii="仿宋_GB2312" w:hAnsi="仿宋" w:eastAsia="仿宋_GB2312"/>
          <w:kern w:val="2"/>
          <w:sz w:val="32"/>
          <w:szCs w:val="32"/>
        </w:rPr>
        <w:t>午</w:t>
      </w:r>
      <w:r>
        <w:rPr>
          <w:rFonts w:hint="eastAsia" w:ascii="仿宋_GB2312" w:hAnsi="仿宋" w:eastAsia="仿宋_GB2312"/>
          <w:kern w:val="2"/>
          <w:sz w:val="32"/>
          <w:szCs w:val="32"/>
          <w:lang w:val="en-US" w:eastAsia="zh-CN"/>
        </w:rPr>
        <w:t>9</w:t>
      </w:r>
      <w:r>
        <w:rPr>
          <w:rFonts w:hint="eastAsia" w:ascii="仿宋_GB2312" w:hAnsi="仿宋" w:eastAsia="仿宋_GB2312"/>
          <w:kern w:val="2"/>
          <w:sz w:val="32"/>
          <w:szCs w:val="32"/>
        </w:rPr>
        <w:t>:30 。</w:t>
      </w:r>
      <w:bookmarkStart w:id="33" w:name="_GoBack"/>
      <w:bookmarkEnd w:id="33"/>
    </w:p>
    <w:p>
      <w:pPr>
        <w:pStyle w:val="45"/>
        <w:spacing w:line="360" w:lineRule="auto"/>
        <w:ind w:firstLine="640" w:firstLineChars="200"/>
        <w:rPr>
          <w:rFonts w:ascii="仿宋_GB2312" w:hAnsi="仿宋" w:eastAsia="仿宋_GB2312"/>
          <w:kern w:val="2"/>
          <w:sz w:val="32"/>
          <w:szCs w:val="32"/>
        </w:rPr>
      </w:pPr>
      <w:r>
        <w:rPr>
          <w:rFonts w:hint="eastAsia" w:ascii="仿宋_GB2312" w:hAnsi="仿宋" w:eastAsia="仿宋_GB2312"/>
          <w:kern w:val="2"/>
          <w:sz w:val="32"/>
          <w:szCs w:val="32"/>
        </w:rPr>
        <w:t>开标地点：鄂尔多斯机场管理集团办公楼208室。</w:t>
      </w:r>
    </w:p>
    <w:p>
      <w:pPr>
        <w:pStyle w:val="6"/>
        <w:spacing w:line="360" w:lineRule="auto"/>
        <w:ind w:firstLine="640" w:firstLineChars="200"/>
        <w:rPr>
          <w:rFonts w:ascii="仿宋_GB2312" w:hAnsi="仿宋" w:eastAsia="仿宋_GB2312" w:cs="Times New Roman"/>
          <w:kern w:val="2"/>
          <w:sz w:val="32"/>
          <w:szCs w:val="32"/>
        </w:rPr>
      </w:pPr>
      <w:r>
        <w:rPr>
          <w:rFonts w:hint="eastAsia" w:ascii="仿宋_GB2312" w:hAnsi="仿宋" w:eastAsia="仿宋_GB2312" w:cs="Times New Roman"/>
          <w:kern w:val="2"/>
          <w:sz w:val="32"/>
          <w:szCs w:val="32"/>
        </w:rPr>
        <w:t>联 系 人：苏女士</w:t>
      </w:r>
    </w:p>
    <w:p>
      <w:pPr>
        <w:pStyle w:val="6"/>
        <w:spacing w:line="360" w:lineRule="auto"/>
        <w:ind w:firstLine="640" w:firstLineChars="200"/>
        <w:rPr>
          <w:rFonts w:ascii="仿宋_GB2312" w:hAnsi="仿宋" w:eastAsia="仿宋_GB2312" w:cs="Times New Roman"/>
          <w:kern w:val="2"/>
          <w:sz w:val="32"/>
          <w:szCs w:val="32"/>
        </w:rPr>
      </w:pPr>
      <w:r>
        <w:rPr>
          <w:rFonts w:hint="eastAsia" w:ascii="仿宋_GB2312" w:hAnsi="仿宋" w:eastAsia="仿宋_GB2312" w:cs="Times New Roman"/>
          <w:kern w:val="2"/>
          <w:sz w:val="32"/>
          <w:szCs w:val="32"/>
        </w:rPr>
        <w:t>联系电话：0477-3855830</w:t>
      </w:r>
    </w:p>
    <w:p>
      <w:pPr>
        <w:spacing w:line="360" w:lineRule="auto"/>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地    址：鄂尔多斯市伊金霍洛旗飞机场</w:t>
      </w:r>
    </w:p>
    <w:p>
      <w:pPr>
        <w:pStyle w:val="45"/>
        <w:spacing w:line="360" w:lineRule="auto"/>
        <w:ind w:firstLine="640" w:firstLineChars="200"/>
        <w:rPr>
          <w:rFonts w:ascii="仿宋_GB2312" w:hAnsi="仿宋" w:eastAsia="仿宋_GB2312"/>
          <w:kern w:val="2"/>
          <w:sz w:val="32"/>
          <w:szCs w:val="32"/>
        </w:rPr>
      </w:pPr>
    </w:p>
    <w:p>
      <w:pPr>
        <w:pStyle w:val="45"/>
        <w:spacing w:line="360" w:lineRule="auto"/>
        <w:ind w:firstLine="643" w:firstLineChars="200"/>
        <w:rPr>
          <w:rFonts w:ascii="仿宋_GB2312" w:hAnsi="仿宋" w:eastAsia="仿宋_GB2312"/>
          <w:b/>
          <w:bCs/>
          <w:kern w:val="2"/>
          <w:sz w:val="32"/>
          <w:szCs w:val="32"/>
        </w:rPr>
      </w:pPr>
      <w:r>
        <w:rPr>
          <w:rFonts w:hint="eastAsia" w:ascii="仿宋_GB2312" w:hAnsi="仿宋" w:eastAsia="仿宋_GB2312"/>
          <w:b/>
          <w:bCs/>
          <w:kern w:val="2"/>
          <w:sz w:val="32"/>
          <w:szCs w:val="32"/>
        </w:rPr>
        <w:t>开标程序：</w:t>
      </w:r>
    </w:p>
    <w:p>
      <w:pPr>
        <w:pStyle w:val="43"/>
        <w:spacing w:beforeLines="20" w:afterLines="20"/>
        <w:ind w:firstLine="320" w:firstLineChars="100"/>
        <w:rPr>
          <w:rFonts w:ascii="仿宋_GB2312" w:hAnsi="仿宋" w:eastAsia="仿宋_GB2312"/>
          <w:kern w:val="2"/>
          <w:sz w:val="32"/>
          <w:szCs w:val="32"/>
        </w:rPr>
      </w:pPr>
      <w:r>
        <w:rPr>
          <w:rFonts w:hint="eastAsia" w:ascii="仿宋_GB2312" w:hAnsi="仿宋" w:eastAsia="仿宋_GB2312"/>
          <w:kern w:val="2"/>
          <w:sz w:val="32"/>
          <w:szCs w:val="32"/>
        </w:rPr>
        <w:t>（1）宣布开标纪律；</w:t>
      </w:r>
    </w:p>
    <w:p>
      <w:pPr>
        <w:pStyle w:val="43"/>
        <w:spacing w:beforeLines="20" w:afterLines="20"/>
        <w:ind w:firstLine="320" w:firstLineChars="100"/>
        <w:rPr>
          <w:rFonts w:ascii="仿宋_GB2312" w:hAnsi="仿宋" w:eastAsia="仿宋_GB2312"/>
          <w:kern w:val="2"/>
          <w:sz w:val="32"/>
          <w:szCs w:val="32"/>
        </w:rPr>
      </w:pPr>
      <w:r>
        <w:rPr>
          <w:rFonts w:hint="eastAsia" w:ascii="仿宋_GB2312" w:hAnsi="仿宋" w:eastAsia="仿宋_GB2312"/>
          <w:kern w:val="2"/>
          <w:sz w:val="32"/>
          <w:szCs w:val="32"/>
        </w:rPr>
        <w:t>（2）公布在投标截止时间前递交投标文件的投标人名称；</w:t>
      </w:r>
    </w:p>
    <w:p>
      <w:pPr>
        <w:pStyle w:val="43"/>
        <w:spacing w:beforeLines="20" w:afterLines="20"/>
        <w:ind w:firstLine="320" w:firstLineChars="100"/>
        <w:rPr>
          <w:rFonts w:ascii="仿宋_GB2312" w:hAnsi="仿宋" w:eastAsia="仿宋_GB2312"/>
          <w:kern w:val="2"/>
          <w:sz w:val="32"/>
          <w:szCs w:val="32"/>
        </w:rPr>
      </w:pPr>
      <w:r>
        <w:rPr>
          <w:rFonts w:hint="eastAsia" w:ascii="仿宋_GB2312" w:hAnsi="仿宋" w:eastAsia="仿宋_GB2312"/>
          <w:kern w:val="2"/>
          <w:sz w:val="32"/>
          <w:szCs w:val="32"/>
        </w:rPr>
        <w:t>（3）宣布开标人、记录人、监标人等有关人员姓名；</w:t>
      </w:r>
    </w:p>
    <w:p>
      <w:pPr>
        <w:pStyle w:val="43"/>
        <w:spacing w:beforeLines="20" w:afterLines="20"/>
        <w:ind w:firstLine="320" w:firstLineChars="100"/>
        <w:rPr>
          <w:rFonts w:ascii="仿宋_GB2312" w:hAnsi="仿宋" w:eastAsia="仿宋_GB2312"/>
          <w:kern w:val="2"/>
          <w:sz w:val="32"/>
          <w:szCs w:val="32"/>
        </w:rPr>
      </w:pPr>
      <w:r>
        <w:rPr>
          <w:rFonts w:hint="eastAsia" w:ascii="仿宋_GB2312" w:hAnsi="仿宋" w:eastAsia="仿宋_GB2312"/>
          <w:kern w:val="2"/>
          <w:sz w:val="32"/>
          <w:szCs w:val="32"/>
        </w:rPr>
        <w:t>（4）检查投标文件的密封情况，公布项目名称、投标报价、其他内容，并记录在案；</w:t>
      </w:r>
    </w:p>
    <w:p>
      <w:pPr>
        <w:pStyle w:val="45"/>
        <w:spacing w:line="360" w:lineRule="auto"/>
        <w:ind w:firstLine="640" w:firstLineChars="200"/>
        <w:rPr>
          <w:rFonts w:ascii="仿宋_GB2312" w:hAnsi="仿宋" w:eastAsia="仿宋_GB2312"/>
          <w:kern w:val="2"/>
          <w:sz w:val="32"/>
          <w:szCs w:val="32"/>
        </w:rPr>
      </w:pPr>
      <w:r>
        <w:rPr>
          <w:rFonts w:hint="eastAsia" w:ascii="仿宋_GB2312" w:hAnsi="仿宋" w:eastAsia="仿宋_GB2312"/>
          <w:kern w:val="2"/>
          <w:sz w:val="32"/>
          <w:szCs w:val="32"/>
        </w:rPr>
        <w:t>（5）开标结束。</w:t>
      </w:r>
    </w:p>
    <w:p>
      <w:pPr>
        <w:spacing w:line="360" w:lineRule="auto"/>
        <w:ind w:firstLine="643" w:firstLineChars="200"/>
        <w:rPr>
          <w:rFonts w:ascii="仿宋_GB2312" w:hAnsi="仿宋" w:eastAsia="仿宋_GB2312" w:cs="Times New Roman"/>
          <w:b/>
          <w:bCs/>
          <w:sz w:val="32"/>
          <w:szCs w:val="32"/>
        </w:rPr>
      </w:pPr>
      <w:r>
        <w:rPr>
          <w:rFonts w:hint="eastAsia" w:ascii="仿宋_GB2312" w:hAnsi="仿宋" w:eastAsia="仿宋_GB2312" w:cs="Times New Roman"/>
          <w:b/>
          <w:bCs/>
          <w:sz w:val="32"/>
          <w:szCs w:val="32"/>
        </w:rPr>
        <w:t>招标失败</w:t>
      </w:r>
    </w:p>
    <w:p>
      <w:pPr>
        <w:pStyle w:val="43"/>
        <w:spacing w:beforeLines="20" w:afterLines="20"/>
        <w:ind w:firstLine="640" w:firstLineChars="200"/>
        <w:rPr>
          <w:rFonts w:ascii="仿宋_GB2312" w:hAnsi="仿宋" w:eastAsia="仿宋_GB2312"/>
          <w:kern w:val="2"/>
          <w:sz w:val="32"/>
          <w:szCs w:val="32"/>
        </w:rPr>
      </w:pPr>
      <w:r>
        <w:rPr>
          <w:rFonts w:hint="eastAsia" w:ascii="仿宋_GB2312" w:hAnsi="仿宋" w:eastAsia="仿宋_GB2312"/>
          <w:kern w:val="2"/>
          <w:sz w:val="32"/>
          <w:szCs w:val="32"/>
        </w:rPr>
        <w:t>截止报名时间，承包单位少于三个的，建设单位应当重新组织招标。重新组织后承包单位仍少于三个的，评标小组可直接与报名承包单位或邀请符合资质要求的企业进行议价（最终议价结果不得高于控制价）。</w:t>
      </w:r>
    </w:p>
    <w:p>
      <w:pPr>
        <w:pStyle w:val="12"/>
        <w:widowControl/>
        <w:shd w:val="clear" w:color="auto" w:fill="FFFFFF"/>
        <w:spacing w:before="0" w:beforeAutospacing="0" w:after="150" w:afterAutospacing="0"/>
        <w:ind w:firstLine="321" w:firstLineChars="100"/>
        <w:rPr>
          <w:rFonts w:ascii="仿宋" w:hAnsi="仿宋" w:eastAsia="仿宋" w:cs="仿宋"/>
          <w:b/>
          <w:bCs/>
          <w:sz w:val="32"/>
          <w:szCs w:val="32"/>
        </w:rPr>
      </w:pPr>
      <w:r>
        <w:rPr>
          <w:rFonts w:hint="eastAsia" w:ascii="仿宋_GB2312" w:hAnsi="仿宋" w:eastAsia="仿宋_GB2312"/>
          <w:b/>
          <w:bCs/>
          <w:kern w:val="2"/>
          <w:sz w:val="32"/>
          <w:szCs w:val="32"/>
        </w:rPr>
        <w:t>废标的规定如下：</w:t>
      </w:r>
    </w:p>
    <w:p>
      <w:pPr>
        <w:pStyle w:val="12"/>
        <w:widowControl/>
        <w:shd w:val="clear" w:color="auto" w:fill="FFFFFF"/>
        <w:spacing w:before="0" w:beforeAutospacing="0" w:after="150" w:afterAutospacing="0"/>
        <w:ind w:firstLine="640" w:firstLineChars="200"/>
        <w:rPr>
          <w:rFonts w:ascii="仿宋_GB2312" w:hAnsi="仿宋" w:eastAsia="仿宋_GB2312"/>
          <w:kern w:val="2"/>
          <w:sz w:val="32"/>
          <w:szCs w:val="32"/>
        </w:rPr>
      </w:pPr>
      <w:r>
        <w:rPr>
          <w:rFonts w:hint="eastAsia" w:ascii="仿宋_GB2312" w:hAnsi="仿宋" w:eastAsia="仿宋_GB2312"/>
          <w:kern w:val="2"/>
          <w:sz w:val="32"/>
          <w:szCs w:val="32"/>
        </w:rPr>
        <w:t>“ 评标委员会经评审，认为所有投标都不符合招标文件要求的，可以否决所有投标。依法必须进行招标的项目的所有投标被否决的，招标人应当依照本法重新招标。”</w:t>
      </w:r>
    </w:p>
    <w:p>
      <w:pPr>
        <w:pStyle w:val="12"/>
        <w:widowControl/>
        <w:shd w:val="clear" w:color="auto" w:fill="FFFFFF"/>
        <w:spacing w:before="0" w:beforeAutospacing="0" w:after="150" w:afterAutospacing="0"/>
        <w:rPr>
          <w:rFonts w:ascii="仿宋_GB2312" w:hAnsi="仿宋" w:eastAsia="仿宋_GB2312"/>
          <w:kern w:val="2"/>
          <w:sz w:val="32"/>
          <w:szCs w:val="32"/>
        </w:rPr>
      </w:pPr>
      <w:r>
        <w:rPr>
          <w:rFonts w:hint="eastAsia" w:ascii="仿宋_GB2312" w:hAnsi="仿宋" w:eastAsia="仿宋_GB2312"/>
          <w:kern w:val="2"/>
          <w:sz w:val="32"/>
          <w:szCs w:val="32"/>
        </w:rPr>
        <w:t>《招标投标法实施条例》第五十一条规定：</w:t>
      </w:r>
    </w:p>
    <w:p>
      <w:pPr>
        <w:pStyle w:val="12"/>
        <w:widowControl/>
        <w:shd w:val="clear" w:color="auto" w:fill="FFFFFF"/>
        <w:spacing w:before="0" w:beforeAutospacing="0" w:after="150" w:afterAutospacing="0"/>
        <w:rPr>
          <w:rFonts w:ascii="仿宋_GB2312" w:hAnsi="仿宋" w:eastAsia="仿宋_GB2312"/>
          <w:kern w:val="2"/>
          <w:sz w:val="32"/>
          <w:szCs w:val="32"/>
        </w:rPr>
      </w:pPr>
      <w:r>
        <w:rPr>
          <w:rFonts w:hint="eastAsia" w:ascii="仿宋_GB2312" w:hAnsi="仿宋" w:eastAsia="仿宋_GB2312"/>
          <w:kern w:val="2"/>
          <w:sz w:val="32"/>
          <w:szCs w:val="32"/>
        </w:rPr>
        <w:t>“有下列情形之一的，评标委员会应当否决其投标：</w:t>
      </w:r>
    </w:p>
    <w:p>
      <w:pPr>
        <w:pStyle w:val="12"/>
        <w:widowControl/>
        <w:shd w:val="clear" w:color="auto" w:fill="FFFFFF"/>
        <w:spacing w:before="0" w:beforeAutospacing="0" w:after="150" w:afterAutospacing="0"/>
        <w:rPr>
          <w:rFonts w:ascii="仿宋_GB2312" w:hAnsi="仿宋" w:eastAsia="仿宋_GB2312"/>
          <w:kern w:val="2"/>
          <w:sz w:val="32"/>
          <w:szCs w:val="32"/>
        </w:rPr>
      </w:pPr>
      <w:r>
        <w:rPr>
          <w:rFonts w:hint="eastAsia" w:ascii="仿宋_GB2312" w:hAnsi="仿宋" w:eastAsia="仿宋_GB2312"/>
          <w:kern w:val="2"/>
          <w:sz w:val="32"/>
          <w:szCs w:val="32"/>
        </w:rPr>
        <w:t>   （一）投标文件未经投标单位盖章和单位负责人签字；</w:t>
      </w:r>
    </w:p>
    <w:p>
      <w:pPr>
        <w:pStyle w:val="12"/>
        <w:widowControl/>
        <w:shd w:val="clear" w:color="auto" w:fill="FFFFFF"/>
        <w:spacing w:before="0" w:beforeAutospacing="0" w:after="150" w:afterAutospacing="0"/>
        <w:rPr>
          <w:rFonts w:ascii="仿宋_GB2312" w:hAnsi="仿宋" w:eastAsia="仿宋_GB2312"/>
          <w:kern w:val="2"/>
          <w:sz w:val="32"/>
          <w:szCs w:val="32"/>
        </w:rPr>
      </w:pPr>
      <w:r>
        <w:rPr>
          <w:rFonts w:hint="eastAsia" w:ascii="仿宋_GB2312" w:hAnsi="仿宋" w:eastAsia="仿宋_GB2312"/>
          <w:kern w:val="2"/>
          <w:sz w:val="32"/>
          <w:szCs w:val="32"/>
        </w:rPr>
        <w:t>   （二）投标联合体没有提交共同投标协议；</w:t>
      </w:r>
    </w:p>
    <w:p>
      <w:pPr>
        <w:pStyle w:val="12"/>
        <w:widowControl/>
        <w:shd w:val="clear" w:color="auto" w:fill="FFFFFF"/>
        <w:spacing w:before="0" w:beforeAutospacing="0" w:after="150" w:afterAutospacing="0"/>
        <w:rPr>
          <w:rFonts w:ascii="仿宋_GB2312" w:hAnsi="仿宋" w:eastAsia="仿宋_GB2312"/>
          <w:kern w:val="2"/>
          <w:sz w:val="32"/>
          <w:szCs w:val="32"/>
        </w:rPr>
      </w:pPr>
      <w:r>
        <w:rPr>
          <w:rFonts w:hint="eastAsia" w:ascii="仿宋_GB2312" w:hAnsi="仿宋" w:eastAsia="仿宋_GB2312"/>
          <w:kern w:val="2"/>
          <w:sz w:val="32"/>
          <w:szCs w:val="32"/>
        </w:rPr>
        <w:t>   （三）投标人不符合国家或者招标文件规定的资格条件；</w:t>
      </w:r>
    </w:p>
    <w:p>
      <w:pPr>
        <w:pStyle w:val="12"/>
        <w:widowControl/>
        <w:shd w:val="clear" w:color="auto" w:fill="FFFFFF"/>
        <w:spacing w:before="0" w:beforeAutospacing="0" w:after="150" w:afterAutospacing="0"/>
        <w:rPr>
          <w:rFonts w:ascii="仿宋_GB2312" w:hAnsi="仿宋" w:eastAsia="仿宋_GB2312"/>
          <w:kern w:val="2"/>
          <w:sz w:val="32"/>
          <w:szCs w:val="32"/>
        </w:rPr>
      </w:pPr>
      <w:r>
        <w:rPr>
          <w:rFonts w:hint="eastAsia" w:ascii="仿宋_GB2312" w:hAnsi="仿宋" w:eastAsia="仿宋_GB2312"/>
          <w:kern w:val="2"/>
          <w:sz w:val="32"/>
          <w:szCs w:val="32"/>
        </w:rPr>
        <w:t>   （四）同一投标人提交两个以上不同的投标文件或者投标报价，但招标文件要求提交备选投标的除外；</w:t>
      </w:r>
    </w:p>
    <w:p>
      <w:pPr>
        <w:pStyle w:val="12"/>
        <w:widowControl/>
        <w:shd w:val="clear" w:color="auto" w:fill="FFFFFF"/>
        <w:spacing w:before="0" w:beforeAutospacing="0" w:after="150" w:afterAutospacing="0"/>
        <w:rPr>
          <w:rFonts w:ascii="仿宋_GB2312" w:hAnsi="仿宋" w:eastAsia="仿宋_GB2312"/>
          <w:kern w:val="2"/>
          <w:sz w:val="32"/>
          <w:szCs w:val="32"/>
        </w:rPr>
      </w:pPr>
      <w:r>
        <w:rPr>
          <w:rFonts w:hint="eastAsia" w:ascii="仿宋_GB2312" w:hAnsi="仿宋" w:eastAsia="仿宋_GB2312"/>
          <w:kern w:val="2"/>
          <w:sz w:val="32"/>
          <w:szCs w:val="32"/>
        </w:rPr>
        <w:t>   （五）投标报价低于成本或者高于招标文件设定的最高投标限价；</w:t>
      </w:r>
    </w:p>
    <w:p>
      <w:pPr>
        <w:pStyle w:val="12"/>
        <w:widowControl/>
        <w:shd w:val="clear" w:color="auto" w:fill="FFFFFF"/>
        <w:spacing w:before="0" w:beforeAutospacing="0" w:after="150" w:afterAutospacing="0"/>
        <w:rPr>
          <w:rFonts w:ascii="仿宋_GB2312" w:hAnsi="仿宋" w:eastAsia="仿宋_GB2312"/>
          <w:kern w:val="2"/>
          <w:sz w:val="32"/>
          <w:szCs w:val="32"/>
        </w:rPr>
      </w:pPr>
      <w:r>
        <w:rPr>
          <w:rFonts w:hint="eastAsia" w:ascii="仿宋_GB2312" w:hAnsi="仿宋" w:eastAsia="仿宋_GB2312"/>
          <w:kern w:val="2"/>
          <w:sz w:val="32"/>
          <w:szCs w:val="32"/>
        </w:rPr>
        <w:t>   （六）投标文件没有对招标文件的实质性要求和条件作出响应；</w:t>
      </w:r>
    </w:p>
    <w:p>
      <w:pPr>
        <w:pStyle w:val="45"/>
        <w:spacing w:line="360" w:lineRule="auto"/>
        <w:ind w:firstLine="320" w:firstLineChars="100"/>
        <w:rPr>
          <w:rFonts w:ascii="仿宋_GB2312" w:hAnsi="仿宋" w:eastAsia="仿宋_GB2312"/>
          <w:kern w:val="2"/>
          <w:sz w:val="32"/>
          <w:szCs w:val="32"/>
        </w:rPr>
      </w:pPr>
      <w:r>
        <w:rPr>
          <w:rFonts w:hint="eastAsia" w:ascii="仿宋_GB2312" w:hAnsi="仿宋" w:eastAsia="仿宋_GB2312"/>
          <w:kern w:val="2"/>
          <w:sz w:val="32"/>
          <w:szCs w:val="32"/>
        </w:rPr>
        <w:t>（七）投标人有串通投标、弄虚作假、行贿等违法行为。”</w:t>
      </w:r>
    </w:p>
    <w:bookmarkEnd w:id="3"/>
    <w:p>
      <w:pPr>
        <w:spacing w:line="360" w:lineRule="auto"/>
        <w:rPr>
          <w:rFonts w:ascii="仿宋" w:hAnsi="仿宋" w:eastAsia="仿宋"/>
          <w:sz w:val="28"/>
          <w:szCs w:val="28"/>
        </w:rPr>
      </w:pPr>
    </w:p>
    <w:p>
      <w:pPr>
        <w:pStyle w:val="3"/>
        <w:spacing w:line="360" w:lineRule="auto"/>
        <w:rPr>
          <w:rFonts w:ascii="仿宋" w:hAnsi="仿宋" w:eastAsia="仿宋"/>
        </w:rPr>
      </w:pPr>
      <w:bookmarkStart w:id="6" w:name="_Toc22820"/>
      <w:r>
        <w:rPr>
          <w:rFonts w:hint="eastAsia" w:ascii="仿宋" w:hAnsi="仿宋" w:eastAsia="仿宋"/>
        </w:rPr>
        <w:t>第二章  采购内容与技术要求</w:t>
      </w:r>
      <w:bookmarkEnd w:id="6"/>
    </w:p>
    <w:p>
      <w:pPr>
        <w:pStyle w:val="4"/>
        <w:spacing w:line="360" w:lineRule="auto"/>
        <w:ind w:firstLine="562" w:firstLineChars="200"/>
        <w:rPr>
          <w:rFonts w:ascii="仿宋" w:hAnsi="仿宋" w:eastAsia="仿宋" w:cs="宋体"/>
          <w:sz w:val="28"/>
        </w:rPr>
      </w:pPr>
      <w:bookmarkStart w:id="7" w:name="_Toc406421928"/>
      <w:bookmarkStart w:id="8" w:name="_Toc26889"/>
      <w:r>
        <w:rPr>
          <w:rFonts w:hint="eastAsia" w:ascii="仿宋" w:hAnsi="仿宋" w:eastAsia="仿宋"/>
          <w:sz w:val="28"/>
        </w:rPr>
        <w:t>一、项目说明</w:t>
      </w:r>
      <w:bookmarkEnd w:id="7"/>
      <w:bookmarkEnd w:id="8"/>
      <w:r>
        <w:rPr>
          <w:rFonts w:hint="eastAsia" w:ascii="仿宋" w:hAnsi="仿宋" w:eastAsia="仿宋" w:cs="宋体"/>
          <w:sz w:val="28"/>
        </w:rPr>
        <w:t>、种植范围：</w:t>
      </w:r>
    </w:p>
    <w:p>
      <w:pPr>
        <w:pStyle w:val="2"/>
        <w:rPr>
          <w:rFonts w:ascii="仿宋" w:hAnsi="仿宋" w:eastAsia="仿宋" w:cs="宋体"/>
          <w:bCs/>
          <w:kern w:val="0"/>
          <w:sz w:val="28"/>
        </w:rPr>
      </w:pPr>
      <w:r>
        <w:rPr>
          <w:rFonts w:ascii="仿宋_GB2312" w:hAnsi="仿宋_GB2312" w:eastAsia="仿宋_GB2312" w:cs="仿宋_GB2312"/>
          <w:sz w:val="32"/>
          <w:szCs w:val="32"/>
        </w:rPr>
        <w:drawing>
          <wp:inline distT="0" distB="0" distL="114300" distR="114300">
            <wp:extent cx="5138420" cy="8085455"/>
            <wp:effectExtent l="0" t="0" r="5080" b="10795"/>
            <wp:docPr id="2" name="图片 2" descr="微信图片_20220325095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20325095750"/>
                    <pic:cNvPicPr>
                      <a:picLocks noChangeAspect="1"/>
                    </pic:cNvPicPr>
                  </pic:nvPicPr>
                  <pic:blipFill>
                    <a:blip r:embed="rId5"/>
                    <a:stretch>
                      <a:fillRect/>
                    </a:stretch>
                  </pic:blipFill>
                  <pic:spPr>
                    <a:xfrm>
                      <a:off x="0" y="0"/>
                      <a:ext cx="5138420" cy="8085455"/>
                    </a:xfrm>
                    <a:prstGeom prst="rect">
                      <a:avLst/>
                    </a:prstGeom>
                  </pic:spPr>
                </pic:pic>
              </a:graphicData>
            </a:graphic>
          </wp:inline>
        </w:drawing>
      </w:r>
    </w:p>
    <w:p>
      <w:pPr>
        <w:pStyle w:val="2"/>
        <w:ind w:firstLine="320" w:firstLineChars="100"/>
        <w:rPr>
          <w:rFonts w:ascii="仿宋" w:hAnsi="仿宋" w:eastAsia="仿宋" w:cs="宋体"/>
          <w:bCs/>
          <w:kern w:val="0"/>
          <w:sz w:val="28"/>
        </w:rPr>
      </w:pPr>
      <w:r>
        <w:rPr>
          <w:rFonts w:hint="eastAsia" w:ascii="仿宋" w:hAnsi="仿宋" w:eastAsia="仿宋" w:cs="仿宋_GB2312"/>
          <w:sz w:val="32"/>
          <w:szCs w:val="32"/>
        </w:rPr>
        <w:t>飞行区部分约为2公顷,需种植沙地柏，沙地柏每平米10株，40cm高。</w:t>
      </w:r>
    </w:p>
    <w:p>
      <w:pPr>
        <w:ind w:firstLine="640" w:firstLineChars="200"/>
        <w:rPr>
          <w:rFonts w:ascii="仿宋" w:hAnsi="仿宋" w:eastAsia="仿宋" w:cs="仿宋_GB2312"/>
          <w:sz w:val="32"/>
          <w:szCs w:val="32"/>
        </w:rPr>
      </w:pPr>
      <w:r>
        <w:rPr>
          <w:rFonts w:hint="eastAsia" w:ascii="仿宋" w:hAnsi="仿宋" w:eastAsia="仿宋" w:cs="仿宋_GB2312"/>
          <w:sz w:val="32"/>
          <w:szCs w:val="32"/>
        </w:rPr>
        <w:t>3、付款方式：中标方提供增值税专用发票，</w:t>
      </w:r>
      <w:r>
        <w:rPr>
          <w:rFonts w:hint="eastAsia" w:ascii="仿宋" w:hAnsi="仿宋" w:eastAsia="仿宋" w:cs="仿宋_GB2312"/>
          <w:sz w:val="32"/>
          <w:szCs w:val="32"/>
          <w:lang w:eastAsia="zh-CN"/>
        </w:rPr>
        <w:t>供货完成</w:t>
      </w:r>
      <w:r>
        <w:rPr>
          <w:rFonts w:hint="eastAsia" w:ascii="仿宋" w:hAnsi="仿宋" w:eastAsia="仿宋" w:cs="仿宋_GB2312"/>
          <w:sz w:val="32"/>
          <w:szCs w:val="32"/>
        </w:rPr>
        <w:t>后，支付总金额的100%。</w:t>
      </w:r>
    </w:p>
    <w:p>
      <w:pPr>
        <w:pStyle w:val="3"/>
        <w:spacing w:line="360" w:lineRule="auto"/>
        <w:rPr>
          <w:rFonts w:ascii="仿宋" w:hAnsi="仿宋" w:eastAsia="仿宋"/>
        </w:rPr>
      </w:pPr>
      <w:bookmarkStart w:id="9" w:name="_Toc22775"/>
    </w:p>
    <w:p>
      <w:pPr>
        <w:pStyle w:val="3"/>
        <w:spacing w:line="360" w:lineRule="auto"/>
        <w:rPr>
          <w:rFonts w:ascii="仿宋" w:hAnsi="仿宋" w:eastAsia="仿宋"/>
        </w:rPr>
      </w:pPr>
    </w:p>
    <w:p>
      <w:pPr>
        <w:pStyle w:val="3"/>
        <w:spacing w:line="360" w:lineRule="auto"/>
        <w:rPr>
          <w:rFonts w:ascii="仿宋" w:hAnsi="仿宋" w:eastAsia="仿宋"/>
        </w:rPr>
      </w:pPr>
    </w:p>
    <w:p>
      <w:pPr>
        <w:pStyle w:val="3"/>
        <w:spacing w:line="360" w:lineRule="auto"/>
        <w:rPr>
          <w:rFonts w:ascii="仿宋" w:hAnsi="仿宋" w:eastAsia="仿宋"/>
        </w:rPr>
      </w:pPr>
    </w:p>
    <w:p>
      <w:pPr>
        <w:pStyle w:val="3"/>
        <w:spacing w:line="360" w:lineRule="auto"/>
        <w:rPr>
          <w:rFonts w:ascii="仿宋" w:hAnsi="仿宋" w:eastAsia="仿宋"/>
        </w:rPr>
      </w:pPr>
    </w:p>
    <w:p>
      <w:pPr>
        <w:pStyle w:val="3"/>
        <w:spacing w:line="360" w:lineRule="auto"/>
        <w:jc w:val="both"/>
        <w:rPr>
          <w:rFonts w:ascii="仿宋" w:hAnsi="仿宋" w:eastAsia="仿宋"/>
        </w:rPr>
      </w:pPr>
    </w:p>
    <w:p>
      <w:pPr>
        <w:rPr>
          <w:rFonts w:ascii="仿宋" w:hAnsi="仿宋" w:eastAsia="仿宋"/>
        </w:rPr>
      </w:pPr>
    </w:p>
    <w:p>
      <w:pPr>
        <w:pStyle w:val="2"/>
        <w:rPr>
          <w:rFonts w:ascii="仿宋" w:hAnsi="仿宋" w:eastAsia="仿宋"/>
        </w:rPr>
      </w:pPr>
    </w:p>
    <w:p>
      <w:pPr>
        <w:pStyle w:val="2"/>
        <w:rPr>
          <w:rFonts w:ascii="仿宋" w:hAnsi="仿宋" w:eastAsia="仿宋"/>
        </w:rPr>
      </w:pPr>
    </w:p>
    <w:p>
      <w:pPr>
        <w:pStyle w:val="2"/>
        <w:rPr>
          <w:rFonts w:ascii="仿宋" w:hAnsi="仿宋" w:eastAsia="仿宋"/>
        </w:rPr>
      </w:pPr>
    </w:p>
    <w:p>
      <w:pPr>
        <w:pStyle w:val="2"/>
        <w:rPr>
          <w:rFonts w:ascii="仿宋" w:hAnsi="仿宋" w:eastAsia="仿宋"/>
        </w:rPr>
      </w:pPr>
    </w:p>
    <w:p>
      <w:pPr>
        <w:pStyle w:val="2"/>
        <w:rPr>
          <w:rFonts w:ascii="仿宋" w:hAnsi="仿宋" w:eastAsia="仿宋"/>
        </w:rPr>
      </w:pPr>
    </w:p>
    <w:p>
      <w:pPr>
        <w:pStyle w:val="2"/>
        <w:rPr>
          <w:rFonts w:ascii="仿宋" w:hAnsi="仿宋" w:eastAsia="仿宋"/>
        </w:rPr>
      </w:pPr>
    </w:p>
    <w:p>
      <w:pPr>
        <w:pStyle w:val="3"/>
        <w:spacing w:line="360" w:lineRule="auto"/>
        <w:rPr>
          <w:rFonts w:ascii="仿宋" w:hAnsi="仿宋" w:eastAsia="仿宋"/>
        </w:rPr>
      </w:pPr>
    </w:p>
    <w:p>
      <w:pPr>
        <w:pStyle w:val="3"/>
        <w:spacing w:line="360" w:lineRule="auto"/>
        <w:jc w:val="both"/>
        <w:rPr>
          <w:rFonts w:ascii="仿宋" w:hAnsi="仿宋" w:eastAsia="仿宋"/>
        </w:rPr>
      </w:pPr>
    </w:p>
    <w:p/>
    <w:p>
      <w:pPr>
        <w:pStyle w:val="3"/>
        <w:spacing w:line="360" w:lineRule="auto"/>
        <w:ind w:firstLine="2650" w:firstLineChars="600"/>
        <w:jc w:val="left"/>
        <w:rPr>
          <w:rFonts w:ascii="黑体" w:hAnsi="仿宋" w:eastAsia="黑体" w:cs="Cambria"/>
          <w:kern w:val="0"/>
        </w:rPr>
      </w:pPr>
      <w:r>
        <w:rPr>
          <w:rFonts w:hint="eastAsia" w:ascii="黑体" w:hAnsi="仿宋" w:eastAsia="黑体" w:cs="Cambria"/>
          <w:kern w:val="0"/>
        </w:rPr>
        <w:t>第三章 投标人须知</w:t>
      </w:r>
      <w:bookmarkEnd w:id="9"/>
    </w:p>
    <w:p>
      <w:pPr>
        <w:pStyle w:val="4"/>
        <w:spacing w:line="360" w:lineRule="auto"/>
        <w:rPr>
          <w:rFonts w:ascii="黑体" w:hAnsi="仿宋" w:eastAsia="黑体"/>
        </w:rPr>
      </w:pPr>
      <w:r>
        <w:rPr>
          <w:rFonts w:hint="eastAsia" w:ascii="黑体" w:hAnsi="仿宋" w:eastAsia="黑体"/>
        </w:rPr>
        <w:t xml:space="preserve">    </w:t>
      </w:r>
      <w:bookmarkStart w:id="10" w:name="_Toc14830"/>
      <w:r>
        <w:rPr>
          <w:rFonts w:hint="eastAsia" w:ascii="黑体" w:hAnsi="仿宋" w:eastAsia="黑体"/>
        </w:rPr>
        <w:t>一、供应商资格要求</w:t>
      </w:r>
      <w:bookmarkEnd w:id="10"/>
    </w:p>
    <w:p>
      <w:pPr>
        <w:pStyle w:val="42"/>
        <w:spacing w:line="360" w:lineRule="auto"/>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 xml:space="preserve">1.具有独立承担民事责任的能力; </w:t>
      </w:r>
    </w:p>
    <w:p>
      <w:pPr>
        <w:pStyle w:val="42"/>
        <w:spacing w:line="360" w:lineRule="auto"/>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 xml:space="preserve">2.有依法缴纳税收和社会保障资金的良好记录; </w:t>
      </w:r>
    </w:p>
    <w:p>
      <w:pPr>
        <w:pStyle w:val="42"/>
        <w:spacing w:line="360" w:lineRule="auto"/>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 xml:space="preserve">3.法律、行政法规规定的其他条件; </w:t>
      </w:r>
    </w:p>
    <w:p>
      <w:pPr>
        <w:spacing w:line="360" w:lineRule="auto"/>
        <w:ind w:firstLine="640" w:firstLineChars="200"/>
        <w:rPr>
          <w:rFonts w:ascii="仿宋_GB2312" w:hAnsi="Courier New" w:eastAsia="仿宋_GB2312"/>
          <w:sz w:val="32"/>
          <w:szCs w:val="32"/>
        </w:rPr>
      </w:pPr>
      <w:r>
        <w:rPr>
          <w:rFonts w:hint="eastAsia" w:ascii="仿宋_GB2312" w:hAnsi="仿宋" w:eastAsia="仿宋_GB2312" w:cs="Times New Roman"/>
          <w:sz w:val="32"/>
          <w:szCs w:val="32"/>
        </w:rPr>
        <w:t>4.具有有效的营业资质。</w:t>
      </w:r>
    </w:p>
    <w:p>
      <w:pPr>
        <w:pStyle w:val="4"/>
        <w:spacing w:line="360" w:lineRule="auto"/>
        <w:rPr>
          <w:rFonts w:ascii="仿宋" w:hAnsi="仿宋" w:eastAsia="仿宋"/>
          <w:sz w:val="28"/>
          <w:szCs w:val="28"/>
        </w:rPr>
      </w:pPr>
      <w:r>
        <w:rPr>
          <w:rFonts w:hint="eastAsia" w:ascii="仿宋" w:hAnsi="仿宋" w:eastAsia="仿宋"/>
          <w:sz w:val="28"/>
          <w:szCs w:val="28"/>
        </w:rPr>
        <w:t xml:space="preserve">  </w:t>
      </w:r>
      <w:r>
        <w:rPr>
          <w:rFonts w:hint="eastAsia" w:ascii="黑体" w:hAnsi="仿宋" w:eastAsia="黑体"/>
        </w:rPr>
        <w:t xml:space="preserve">  </w:t>
      </w:r>
      <w:bookmarkStart w:id="11" w:name="_Toc17208"/>
      <w:r>
        <w:rPr>
          <w:rFonts w:hint="eastAsia" w:ascii="黑体" w:hAnsi="仿宋" w:eastAsia="黑体"/>
        </w:rPr>
        <w:t>二、响应文件的构成</w:t>
      </w:r>
      <w:bookmarkEnd w:id="11"/>
    </w:p>
    <w:p>
      <w:pPr>
        <w:pStyle w:val="6"/>
        <w:spacing w:line="360" w:lineRule="auto"/>
        <w:ind w:firstLine="960" w:firstLineChars="300"/>
        <w:rPr>
          <w:rFonts w:ascii="仿宋_GB2312" w:eastAsia="仿宋_GB2312" w:cs="Calibri"/>
          <w:kern w:val="2"/>
          <w:sz w:val="32"/>
          <w:szCs w:val="32"/>
        </w:rPr>
      </w:pPr>
      <w:r>
        <w:rPr>
          <w:rFonts w:hint="eastAsia" w:ascii="仿宋_GB2312" w:eastAsia="仿宋_GB2312" w:cs="Calibri"/>
          <w:kern w:val="2"/>
          <w:sz w:val="32"/>
          <w:szCs w:val="32"/>
        </w:rPr>
        <w:t>供应商编制的响应文件应包括但不少于下列内容：</w:t>
      </w:r>
    </w:p>
    <w:p>
      <w:pPr>
        <w:pStyle w:val="6"/>
        <w:spacing w:line="360" w:lineRule="auto"/>
        <w:ind w:firstLine="960" w:firstLineChars="300"/>
        <w:rPr>
          <w:rFonts w:ascii="仿宋_GB2312" w:eastAsia="仿宋_GB2312" w:cs="Calibri"/>
          <w:kern w:val="2"/>
          <w:sz w:val="32"/>
          <w:szCs w:val="32"/>
        </w:rPr>
      </w:pPr>
      <w:r>
        <w:rPr>
          <w:rFonts w:hint="eastAsia" w:ascii="仿宋_GB2312" w:eastAsia="仿宋_GB2312" w:cs="Calibri"/>
          <w:kern w:val="2"/>
          <w:sz w:val="32"/>
          <w:szCs w:val="32"/>
        </w:rPr>
        <w:t>1.提供营业执照复印件并加盖公章；</w:t>
      </w:r>
    </w:p>
    <w:p>
      <w:pPr>
        <w:pStyle w:val="6"/>
        <w:spacing w:line="360" w:lineRule="auto"/>
        <w:ind w:firstLine="960" w:firstLineChars="300"/>
        <w:rPr>
          <w:rFonts w:ascii="仿宋_GB2312" w:eastAsia="仿宋_GB2312" w:cs="Calibri"/>
          <w:kern w:val="2"/>
          <w:sz w:val="32"/>
          <w:szCs w:val="32"/>
        </w:rPr>
      </w:pPr>
      <w:r>
        <w:rPr>
          <w:rFonts w:hint="eastAsia" w:ascii="仿宋_GB2312" w:eastAsia="仿宋_GB2312" w:cs="Calibri"/>
          <w:kern w:val="2"/>
          <w:sz w:val="32"/>
          <w:szCs w:val="32"/>
        </w:rPr>
        <w:t>2.产品最终报价表（含税）；</w:t>
      </w:r>
    </w:p>
    <w:p>
      <w:pPr>
        <w:pStyle w:val="6"/>
        <w:spacing w:line="360" w:lineRule="auto"/>
        <w:ind w:firstLine="960" w:firstLineChars="300"/>
        <w:rPr>
          <w:rFonts w:ascii="仿宋_GB2312" w:eastAsia="仿宋_GB2312" w:cs="Calibri"/>
          <w:kern w:val="2"/>
          <w:sz w:val="32"/>
          <w:szCs w:val="32"/>
        </w:rPr>
      </w:pPr>
      <w:r>
        <w:rPr>
          <w:rFonts w:hint="eastAsia" w:ascii="仿宋_GB2312" w:eastAsia="仿宋_GB2312" w:cs="Calibri"/>
          <w:kern w:val="2"/>
          <w:sz w:val="32"/>
          <w:szCs w:val="32"/>
        </w:rPr>
        <w:t>3.报价货物详细技术参数</w:t>
      </w:r>
    </w:p>
    <w:p>
      <w:pPr>
        <w:pStyle w:val="6"/>
        <w:spacing w:line="360" w:lineRule="auto"/>
        <w:ind w:firstLine="960" w:firstLineChars="300"/>
        <w:rPr>
          <w:rFonts w:ascii="仿宋_GB2312" w:eastAsia="仿宋_GB2312" w:cs="Calibri"/>
          <w:kern w:val="2"/>
          <w:sz w:val="32"/>
          <w:szCs w:val="32"/>
        </w:rPr>
      </w:pPr>
      <w:r>
        <w:rPr>
          <w:rFonts w:hint="eastAsia" w:ascii="仿宋_GB2312" w:eastAsia="仿宋_GB2312" w:cs="Calibri"/>
          <w:kern w:val="2"/>
          <w:sz w:val="32"/>
          <w:szCs w:val="32"/>
        </w:rPr>
        <w:t>4.招标文件响应程度</w:t>
      </w:r>
    </w:p>
    <w:p>
      <w:pPr>
        <w:pStyle w:val="6"/>
        <w:spacing w:line="360" w:lineRule="auto"/>
        <w:ind w:firstLine="960" w:firstLineChars="300"/>
        <w:rPr>
          <w:rFonts w:ascii="仿宋_GB2312" w:eastAsia="仿宋_GB2312" w:cs="Calibri"/>
          <w:kern w:val="2"/>
          <w:sz w:val="32"/>
          <w:szCs w:val="32"/>
        </w:rPr>
      </w:pPr>
      <w:r>
        <w:rPr>
          <w:rFonts w:hint="eastAsia" w:ascii="仿宋_GB2312" w:eastAsia="仿宋_GB2312" w:cs="Calibri"/>
          <w:kern w:val="2"/>
          <w:sz w:val="32"/>
          <w:szCs w:val="32"/>
        </w:rPr>
        <w:t>以上响应文件需递交正本1份，副本4份，PDF格式电子文档1份(U盘)；以上资料需签字、盖章的必须由法定代表人或经其授权的代表签字，并加盖公章。响应文件及资料无论供应商是否中标均不予退还。</w:t>
      </w:r>
    </w:p>
    <w:p>
      <w:pPr>
        <w:pStyle w:val="4"/>
        <w:spacing w:line="360" w:lineRule="auto"/>
        <w:rPr>
          <w:rFonts w:ascii="黑体" w:hAnsi="仿宋" w:eastAsia="黑体"/>
        </w:rPr>
      </w:pPr>
      <w:bookmarkStart w:id="12" w:name="_Toc425349056"/>
      <w:r>
        <w:rPr>
          <w:rFonts w:hint="eastAsia" w:ascii="黑体" w:hAnsi="仿宋" w:eastAsia="黑体"/>
        </w:rPr>
        <w:t>三、评标与中标</w:t>
      </w:r>
      <w:bookmarkEnd w:id="12"/>
    </w:p>
    <w:p>
      <w:pPr>
        <w:spacing w:line="360" w:lineRule="auto"/>
        <w:rPr>
          <w:rFonts w:ascii="仿宋_GB2312" w:hAnsi="仿宋" w:eastAsia="仿宋_GB2312" w:cs="Times New Roman"/>
          <w:sz w:val="32"/>
          <w:szCs w:val="32"/>
        </w:rPr>
      </w:pPr>
      <w:r>
        <w:rPr>
          <w:rFonts w:hint="eastAsia" w:ascii="仿宋_GB2312" w:hAnsi="仿宋" w:eastAsia="仿宋_GB2312" w:cs="Times New Roman"/>
          <w:sz w:val="32"/>
          <w:szCs w:val="32"/>
        </w:rPr>
        <w:t>（1）机场集团组成评标小组，进行评标。</w:t>
      </w:r>
    </w:p>
    <w:p>
      <w:pPr>
        <w:pStyle w:val="2"/>
        <w:rPr>
          <w:rFonts w:ascii="仿宋_GB2312" w:hAnsi="Courier New" w:eastAsia="仿宋_GB2312"/>
          <w:sz w:val="32"/>
          <w:szCs w:val="32"/>
        </w:rPr>
      </w:pPr>
      <w:r>
        <w:rPr>
          <w:rFonts w:hint="eastAsia" w:ascii="仿宋_GB2312" w:hAnsi="仿宋" w:eastAsia="仿宋_GB2312" w:cs="Times New Roman"/>
          <w:sz w:val="32"/>
          <w:szCs w:val="32"/>
        </w:rPr>
        <w:t>项目评标方式采用最低评标价法</w:t>
      </w:r>
    </w:p>
    <w:p>
      <w:pPr>
        <w:pStyle w:val="6"/>
        <w:spacing w:line="360" w:lineRule="auto"/>
        <w:rPr>
          <w:rFonts w:ascii="仿宋_GB2312" w:hAnsi="仿宋" w:eastAsia="仿宋_GB2312" w:cs="Times New Roman"/>
          <w:kern w:val="2"/>
          <w:sz w:val="32"/>
          <w:szCs w:val="32"/>
        </w:rPr>
      </w:pPr>
      <w:r>
        <w:rPr>
          <w:rFonts w:hint="eastAsia" w:ascii="仿宋_GB2312" w:hAnsi="仿宋" w:eastAsia="仿宋_GB2312" w:cs="Times New Roman"/>
          <w:kern w:val="2"/>
          <w:sz w:val="32"/>
          <w:szCs w:val="32"/>
        </w:rPr>
        <w:t>（2）确定成交供应商</w:t>
      </w:r>
    </w:p>
    <w:p>
      <w:pPr>
        <w:pStyle w:val="6"/>
        <w:spacing w:line="360" w:lineRule="auto"/>
        <w:ind w:firstLine="960" w:firstLineChars="300"/>
        <w:rPr>
          <w:rFonts w:ascii="仿宋_GB2312" w:hAnsi="仿宋" w:eastAsia="仿宋_GB2312" w:cs="Times New Roman"/>
          <w:kern w:val="2"/>
          <w:sz w:val="32"/>
          <w:szCs w:val="32"/>
        </w:rPr>
      </w:pPr>
      <w:r>
        <w:rPr>
          <w:rFonts w:hint="eastAsia" w:ascii="仿宋_GB2312" w:hAnsi="仿宋" w:eastAsia="仿宋_GB2312" w:cs="Times New Roman"/>
          <w:kern w:val="2"/>
          <w:sz w:val="32"/>
          <w:szCs w:val="32"/>
        </w:rPr>
        <w:t>在磋商结束后，按照磋商小组成员推荐的成交候选人顺序确定排序第一名为中标人。如供应商拒绝与采购人签订合同，或签订合同后无法履约的，磋商小组可以取消该供应商的中标资格，由排在第二名的成交候选供应商递补。</w:t>
      </w:r>
    </w:p>
    <w:p>
      <w:pPr>
        <w:pStyle w:val="6"/>
        <w:spacing w:line="360" w:lineRule="auto"/>
        <w:ind w:firstLine="960" w:firstLineChars="300"/>
        <w:rPr>
          <w:rFonts w:ascii="仿宋_GB2312" w:hAnsi="仿宋" w:eastAsia="仿宋_GB2312" w:cs="Times New Roman"/>
          <w:kern w:val="2"/>
          <w:sz w:val="32"/>
          <w:szCs w:val="32"/>
        </w:rPr>
      </w:pPr>
      <w:r>
        <w:rPr>
          <w:rFonts w:hint="eastAsia" w:ascii="仿宋_GB2312" w:hAnsi="仿宋" w:eastAsia="仿宋_GB2312" w:cs="Times New Roman"/>
          <w:kern w:val="2"/>
          <w:sz w:val="32"/>
          <w:szCs w:val="32"/>
        </w:rPr>
        <w:t>项目中标结果将于2-4个工作日后在鄂尔多斯国际机场微信公众平台上进行公布，供应商可自行查询，不再另行通知。</w:t>
      </w: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3"/>
        <w:spacing w:line="360" w:lineRule="auto"/>
        <w:rPr>
          <w:rFonts w:ascii="仿宋" w:hAnsi="仿宋" w:eastAsia="仿宋"/>
        </w:rPr>
      </w:pPr>
      <w:bookmarkStart w:id="13" w:name="_Toc3641"/>
      <w:r>
        <w:rPr>
          <w:rFonts w:hint="eastAsia" w:ascii="仿宋" w:hAnsi="仿宋" w:eastAsia="仿宋"/>
        </w:rPr>
        <w:t>第四章 响应文件格式与要求</w:t>
      </w:r>
      <w:bookmarkEnd w:id="13"/>
    </w:p>
    <w:p>
      <w:pPr>
        <w:pStyle w:val="4"/>
        <w:ind w:firstLine="562" w:firstLineChars="200"/>
        <w:rPr>
          <w:rFonts w:ascii="仿宋" w:hAnsi="仿宋" w:eastAsia="仿宋"/>
          <w:sz w:val="28"/>
        </w:rPr>
      </w:pPr>
      <w:bookmarkStart w:id="14" w:name="_Toc2950399"/>
      <w:bookmarkStart w:id="15" w:name="_Toc2950276"/>
      <w:bookmarkStart w:id="16" w:name="_Toc8211"/>
      <w:r>
        <w:rPr>
          <w:rFonts w:hint="eastAsia" w:ascii="仿宋" w:hAnsi="仿宋" w:eastAsia="仿宋"/>
          <w:sz w:val="28"/>
        </w:rPr>
        <w:t>格式一：</w:t>
      </w:r>
      <w:bookmarkEnd w:id="14"/>
      <w:bookmarkEnd w:id="15"/>
      <w:bookmarkEnd w:id="16"/>
    </w:p>
    <w:p>
      <w:pPr>
        <w:jc w:val="center"/>
        <w:rPr>
          <w:rFonts w:ascii="仿宋" w:hAnsi="仿宋" w:eastAsia="仿宋"/>
        </w:rPr>
      </w:pPr>
      <w:r>
        <w:rPr>
          <w:rFonts w:hint="eastAsia" w:ascii="仿宋" w:hAnsi="仿宋" w:eastAsia="仿宋"/>
          <w:sz w:val="40"/>
        </w:rPr>
        <w:t>（相应文件封面）</w:t>
      </w:r>
    </w:p>
    <w:p>
      <w:pPr>
        <w:jc w:val="center"/>
        <w:rPr>
          <w:rFonts w:ascii="仿宋" w:hAnsi="仿宋" w:eastAsia="仿宋"/>
          <w:sz w:val="52"/>
          <w:szCs w:val="52"/>
        </w:rPr>
      </w:pPr>
      <w:r>
        <w:rPr>
          <w:rFonts w:hint="eastAsia" w:ascii="仿宋" w:hAnsi="仿宋" w:eastAsia="仿宋"/>
          <w:sz w:val="52"/>
          <w:szCs w:val="52"/>
        </w:rPr>
        <w:t>竞争性磋商响应文件</w:t>
      </w:r>
    </w:p>
    <w:p>
      <w:pPr>
        <w:jc w:val="center"/>
        <w:rPr>
          <w:rFonts w:ascii="仿宋" w:hAnsi="仿宋" w:eastAsia="仿宋"/>
          <w:sz w:val="52"/>
          <w:szCs w:val="52"/>
        </w:rPr>
      </w:pPr>
      <w:r>
        <w:rPr>
          <w:rFonts w:hint="eastAsia" w:ascii="仿宋" w:hAnsi="仿宋" w:eastAsia="仿宋"/>
          <w:sz w:val="52"/>
          <w:szCs w:val="52"/>
        </w:rPr>
        <w:t>（正本/副本）</w:t>
      </w:r>
    </w:p>
    <w:p>
      <w:pPr>
        <w:jc w:val="center"/>
        <w:rPr>
          <w:rFonts w:ascii="仿宋" w:hAnsi="仿宋" w:eastAsia="仿宋"/>
          <w:sz w:val="44"/>
          <w:szCs w:val="44"/>
        </w:rPr>
      </w:pPr>
      <w:r>
        <w:rPr>
          <w:rFonts w:hint="eastAsia" w:ascii="仿宋" w:hAnsi="仿宋" w:eastAsia="仿宋"/>
          <w:sz w:val="44"/>
          <w:szCs w:val="44"/>
        </w:rPr>
        <w:t>项目名称：</w:t>
      </w:r>
    </w:p>
    <w:p>
      <w:pPr>
        <w:jc w:val="center"/>
        <w:rPr>
          <w:rFonts w:ascii="仿宋" w:hAnsi="仿宋" w:eastAsia="仿宋"/>
          <w:sz w:val="44"/>
          <w:szCs w:val="44"/>
        </w:rPr>
      </w:pPr>
      <w:r>
        <w:rPr>
          <w:rFonts w:hint="eastAsia" w:ascii="仿宋" w:hAnsi="仿宋" w:eastAsia="仿宋"/>
          <w:sz w:val="44"/>
          <w:szCs w:val="44"/>
        </w:rPr>
        <w:t>项目编号：</w:t>
      </w: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44"/>
          <w:szCs w:val="44"/>
        </w:rPr>
      </w:pPr>
      <w:r>
        <w:rPr>
          <w:rFonts w:hint="eastAsia" w:ascii="仿宋" w:hAnsi="仿宋" w:eastAsia="仿宋"/>
          <w:sz w:val="44"/>
          <w:szCs w:val="44"/>
        </w:rPr>
        <w:t>竞标人名称</w:t>
      </w:r>
    </w:p>
    <w:p>
      <w:pPr>
        <w:jc w:val="center"/>
        <w:rPr>
          <w:rFonts w:ascii="仿宋" w:hAnsi="仿宋" w:eastAsia="仿宋"/>
          <w:sz w:val="44"/>
          <w:szCs w:val="44"/>
        </w:rPr>
      </w:pPr>
    </w:p>
    <w:p>
      <w:pPr>
        <w:jc w:val="center"/>
        <w:rPr>
          <w:rFonts w:ascii="仿宋" w:hAnsi="仿宋" w:eastAsia="仿宋"/>
          <w:sz w:val="44"/>
          <w:szCs w:val="44"/>
        </w:rPr>
      </w:pPr>
      <w:r>
        <w:rPr>
          <w:rFonts w:hint="eastAsia" w:ascii="仿宋" w:hAnsi="仿宋" w:eastAsia="仿宋"/>
          <w:sz w:val="44"/>
          <w:szCs w:val="44"/>
        </w:rPr>
        <w:t>年    月    日</w:t>
      </w: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pStyle w:val="4"/>
        <w:rPr>
          <w:rFonts w:ascii="仿宋" w:hAnsi="仿宋" w:eastAsia="仿宋"/>
        </w:rPr>
      </w:pPr>
      <w:bookmarkStart w:id="17" w:name="_Toc2950277"/>
      <w:bookmarkStart w:id="18" w:name="_Toc22081"/>
      <w:bookmarkStart w:id="19" w:name="_Toc2950400"/>
      <w:r>
        <w:rPr>
          <w:rFonts w:hint="eastAsia" w:ascii="仿宋" w:hAnsi="仿宋" w:eastAsia="仿宋"/>
        </w:rPr>
        <w:t>格式二：</w:t>
      </w:r>
      <w:bookmarkEnd w:id="17"/>
      <w:bookmarkEnd w:id="18"/>
      <w:bookmarkEnd w:id="19"/>
    </w:p>
    <w:p>
      <w:pPr>
        <w:jc w:val="center"/>
        <w:rPr>
          <w:rFonts w:ascii="仿宋" w:hAnsi="仿宋" w:eastAsia="仿宋"/>
          <w:sz w:val="32"/>
          <w:szCs w:val="32"/>
        </w:rPr>
      </w:pPr>
      <w:r>
        <w:rPr>
          <w:rFonts w:hint="eastAsia" w:ascii="仿宋" w:hAnsi="仿宋" w:eastAsia="仿宋"/>
          <w:sz w:val="32"/>
          <w:szCs w:val="32"/>
        </w:rPr>
        <w:t>目录</w:t>
      </w:r>
    </w:p>
    <w:p>
      <w:pPr>
        <w:rPr>
          <w:rFonts w:ascii="仿宋" w:hAnsi="仿宋" w:eastAsia="仿宋"/>
          <w:sz w:val="32"/>
          <w:szCs w:val="32"/>
        </w:rPr>
      </w:pPr>
    </w:p>
    <w:p>
      <w:pPr>
        <w:spacing w:line="480" w:lineRule="exact"/>
        <w:jc w:val="center"/>
        <w:rPr>
          <w:rFonts w:ascii="仿宋" w:hAnsi="仿宋" w:eastAsia="仿宋"/>
          <w:b/>
          <w:color w:val="000000"/>
          <w:sz w:val="28"/>
          <w:szCs w:val="28"/>
        </w:rPr>
      </w:pPr>
    </w:p>
    <w:p>
      <w:pPr>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spacing w:line="360" w:lineRule="auto"/>
        <w:rPr>
          <w:rFonts w:ascii="仿宋" w:hAnsi="仿宋" w:eastAsia="仿宋"/>
          <w:color w:val="000000"/>
          <w:sz w:val="28"/>
          <w:szCs w:val="28"/>
        </w:rPr>
      </w:pPr>
      <w:r>
        <w:rPr>
          <w:rFonts w:hint="eastAsia" w:ascii="仿宋" w:hAnsi="仿宋" w:eastAsia="仿宋"/>
          <w:color w:val="000000"/>
          <w:sz w:val="28"/>
          <w:szCs w:val="28"/>
        </w:rPr>
        <w:t>四、各类</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 ……………………… （ ）</w:t>
      </w:r>
    </w:p>
    <w:p>
      <w:pPr>
        <w:jc w:val="center"/>
        <w:rPr>
          <w:rFonts w:ascii="仿宋" w:hAnsi="仿宋" w:eastAsia="仿宋"/>
          <w:sz w:val="32"/>
          <w:szCs w:val="32"/>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pStyle w:val="2"/>
      </w:pPr>
    </w:p>
    <w:p>
      <w:pPr>
        <w:rPr>
          <w:rFonts w:ascii="仿宋" w:hAnsi="仿宋" w:eastAsia="仿宋"/>
          <w:sz w:val="44"/>
          <w:szCs w:val="44"/>
        </w:rPr>
      </w:pPr>
    </w:p>
    <w:p>
      <w:pPr>
        <w:pStyle w:val="2"/>
      </w:pPr>
    </w:p>
    <w:p>
      <w:pPr>
        <w:pStyle w:val="4"/>
        <w:rPr>
          <w:rFonts w:ascii="仿宋" w:hAnsi="仿宋" w:eastAsia="仿宋"/>
        </w:rPr>
      </w:pPr>
      <w:bookmarkStart w:id="20" w:name="_Toc2950278"/>
      <w:bookmarkStart w:id="21" w:name="_Toc2950401"/>
      <w:bookmarkStart w:id="22" w:name="_Toc15348"/>
      <w:r>
        <w:rPr>
          <w:rFonts w:hint="eastAsia" w:ascii="仿宋" w:hAnsi="仿宋" w:eastAsia="仿宋"/>
        </w:rPr>
        <w:t>格式三</w:t>
      </w:r>
      <w:bookmarkEnd w:id="20"/>
      <w:bookmarkEnd w:id="21"/>
      <w:bookmarkEnd w:id="22"/>
    </w:p>
    <w:p>
      <w:pPr>
        <w:jc w:val="center"/>
        <w:rPr>
          <w:rFonts w:ascii="仿宋" w:hAnsi="仿宋" w:eastAsia="仿宋"/>
          <w:bCs/>
          <w:color w:val="000000"/>
          <w:sz w:val="28"/>
          <w:szCs w:val="28"/>
        </w:rPr>
      </w:pPr>
      <w:r>
        <w:rPr>
          <w:rFonts w:hint="eastAsia" w:ascii="仿宋" w:hAnsi="仿宋" w:eastAsia="仿宋"/>
          <w:bCs/>
          <w:color w:val="000000"/>
          <w:sz w:val="28"/>
          <w:szCs w:val="28"/>
        </w:rPr>
        <w:t>投标承诺书</w:t>
      </w:r>
    </w:p>
    <w:p>
      <w:pPr>
        <w:spacing w:line="360" w:lineRule="auto"/>
        <w:ind w:firstLine="56" w:firstLineChars="20"/>
        <w:rPr>
          <w:rFonts w:ascii="仿宋" w:hAnsi="仿宋" w:eastAsia="仿宋"/>
          <w:color w:val="000000"/>
          <w:sz w:val="28"/>
          <w:szCs w:val="28"/>
        </w:rPr>
      </w:pPr>
      <w:r>
        <w:rPr>
          <w:rFonts w:hint="eastAsia" w:ascii="仿宋" w:hAnsi="仿宋" w:eastAsia="仿宋"/>
          <w:color w:val="000000"/>
          <w:sz w:val="28"/>
          <w:szCs w:val="28"/>
        </w:rPr>
        <w:t xml:space="preserve">鄂尔多斯市伊金霍洛国际机场有限公司： </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2.一旦我方中标，我方保证在合同签订后履行服务内容。</w:t>
      </w:r>
    </w:p>
    <w:p>
      <w:pPr>
        <w:spacing w:line="360" w:lineRule="auto"/>
        <w:ind w:firstLine="57"/>
        <w:rPr>
          <w:rFonts w:ascii="仿宋" w:hAnsi="仿宋" w:eastAsia="仿宋"/>
          <w:color w:val="000000"/>
          <w:sz w:val="28"/>
          <w:szCs w:val="28"/>
        </w:rPr>
      </w:pPr>
      <w:r>
        <w:rPr>
          <w:rFonts w:hint="eastAsia" w:ascii="仿宋" w:hAnsi="仿宋" w:eastAsia="仿宋"/>
          <w:color w:val="000000"/>
          <w:sz w:val="28"/>
          <w:szCs w:val="28"/>
        </w:rPr>
        <w:t xml:space="preserve">    3.我方同意所递交的响应文件在“投标须知”规定的投标有效期内有效，在此期间内我方的投标如能中标，我方将受此约束。</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4.我方郑重声明：所提供的响应文件内容全部真实有效。</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5.我方</w:t>
      </w:r>
      <w:r>
        <w:rPr>
          <w:rFonts w:hint="eastAsia" w:ascii="仿宋" w:hAnsi="仿宋" w:eastAsia="仿宋"/>
          <w:color w:val="000000"/>
          <w:kern w:val="0"/>
          <w:sz w:val="28"/>
          <w:szCs w:val="28"/>
        </w:rPr>
        <w:t>接受招标文件所列须知中关于没收投标保证金的约定。</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6.我方同意提供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spacing w:line="450" w:lineRule="exact"/>
        <w:ind w:firstLine="845"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autoSpaceDE w:val="0"/>
        <w:autoSpaceDN w:val="0"/>
        <w:adjustRightInd w:val="0"/>
        <w:spacing w:line="45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autoSpaceDE w:val="0"/>
        <w:autoSpaceDN w:val="0"/>
        <w:adjustRightInd w:val="0"/>
        <w:spacing w:line="45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autoSpaceDE w:val="0"/>
        <w:autoSpaceDN w:val="0"/>
        <w:adjustRightInd w:val="0"/>
        <w:spacing w:line="450" w:lineRule="exact"/>
        <w:ind w:right="246" w:firstLine="840" w:firstLineChars="300"/>
        <w:rPr>
          <w:rFonts w:ascii="仿宋" w:hAnsi="仿宋" w:eastAsia="仿宋"/>
          <w:color w:val="000000"/>
          <w:sz w:val="28"/>
          <w:szCs w:val="28"/>
        </w:rPr>
      </w:pPr>
      <w:r>
        <w:rPr>
          <w:rFonts w:hint="eastAsia" w:ascii="仿宋" w:hAnsi="仿宋" w:eastAsia="仿宋"/>
          <w:color w:val="000000"/>
          <w:sz w:val="28"/>
          <w:szCs w:val="28"/>
        </w:rPr>
        <w:t>供应商开户银行：                  账号/行号：</w:t>
      </w:r>
    </w:p>
    <w:p>
      <w:pPr>
        <w:adjustRightInd w:val="0"/>
        <w:snapToGrid w:val="0"/>
        <w:spacing w:line="45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供应商法人签字：</w:t>
      </w:r>
    </w:p>
    <w:p>
      <w:pPr>
        <w:adjustRightInd w:val="0"/>
        <w:snapToGrid w:val="0"/>
        <w:spacing w:line="45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autoSpaceDE w:val="0"/>
        <w:autoSpaceDN w:val="0"/>
        <w:spacing w:line="45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供应商名称(公章)：</w:t>
      </w:r>
    </w:p>
    <w:p>
      <w:pPr>
        <w:autoSpaceDE w:val="0"/>
        <w:autoSpaceDN w:val="0"/>
        <w:spacing w:line="45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pStyle w:val="4"/>
        <w:rPr>
          <w:rFonts w:ascii="仿宋" w:hAnsi="仿宋" w:eastAsia="仿宋"/>
        </w:rPr>
      </w:pPr>
      <w:bookmarkStart w:id="23" w:name="_Toc20440"/>
      <w:bookmarkStart w:id="24" w:name="_Toc2950279"/>
      <w:bookmarkStart w:id="25" w:name="_Toc2950402"/>
      <w:r>
        <w:rPr>
          <w:rFonts w:hint="eastAsia" w:ascii="仿宋" w:hAnsi="仿宋" w:eastAsia="仿宋"/>
        </w:rPr>
        <w:t>格式四</w:t>
      </w:r>
      <w:bookmarkEnd w:id="23"/>
      <w:bookmarkEnd w:id="24"/>
      <w:bookmarkEnd w:id="25"/>
    </w:p>
    <w:p>
      <w:pPr>
        <w:jc w:val="center"/>
        <w:rPr>
          <w:rFonts w:ascii="仿宋" w:hAnsi="仿宋" w:eastAsia="仿宋"/>
          <w:sz w:val="28"/>
          <w:szCs w:val="28"/>
        </w:rPr>
      </w:pPr>
      <w:r>
        <w:rPr>
          <w:rFonts w:hint="eastAsia" w:ascii="仿宋" w:hAnsi="仿宋" w:eastAsia="仿宋"/>
          <w:sz w:val="28"/>
          <w:szCs w:val="28"/>
        </w:rPr>
        <w:t>法定代表人授权委托书</w:t>
      </w:r>
    </w:p>
    <w:p>
      <w:pPr>
        <w:spacing w:line="480" w:lineRule="exact"/>
        <w:ind w:firstLine="840" w:firstLineChars="30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spacing w:line="450" w:lineRule="exact"/>
        <w:ind w:firstLine="56" w:firstLineChars="20"/>
        <w:rPr>
          <w:rFonts w:ascii="仿宋" w:hAnsi="仿宋" w:eastAsia="仿宋"/>
          <w:sz w:val="28"/>
          <w:szCs w:val="28"/>
        </w:rPr>
      </w:pPr>
      <w:r>
        <w:rPr>
          <w:rFonts w:ascii="仿宋" w:hAnsi="仿宋" w:eastAsia="仿宋"/>
          <w:sz w:val="28"/>
          <w:szCs w:val="28"/>
        </w:rPr>
        <w:t>特此委托。</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pict>
          <v:shape id="Text Box 2" o:spid="_x0000_s1026" o:spt="202" type="#_x0000_t202" style="position:absolute;left:0pt;margin-left:270pt;margin-top:9.6pt;height:150pt;width:198pt;z-index:251660288;mso-width-relative:page;mso-height-relative:page;"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P4tVrYAAAACgEAAA8AAAAAAAAAAQAgAAAAIgAAAGRycy9kb3ducmV2&#10;LnhtbFBLAQIUABQAAAAIAIdO4kDbUsTf/AEAADYEAAAOAAAAAAAAAAEAIAAAACcBAABkcnMvZTJv&#10;RG9jLnhtbFBLBQYAAAAABgAGAFkBAACVBQAAAAA=&#10;">
            <v:path/>
            <v:fill focussize="0,0"/>
            <v:stroke joinstyle="miter"/>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 w:hAnsi="仿宋" w:eastAsia="仿宋"/>
          <w:sz w:val="28"/>
          <w:szCs w:val="28"/>
        </w:rPr>
        <w:pict>
          <v:shape id="Text Box 3" o:spid="_x0000_s1027" o:spt="202" type="#_x0000_t202" style="position:absolute;left:0pt;margin-left:-9pt;margin-top:8.6pt;height:150pt;width:207pt;z-index:251659264;mso-width-relative:page;mso-height-relative:page;"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5X+0HWAAAACgEAAA8AAAAAAAAAAQAgAAAAIgAAAGRycy9kb3ducmV2Lnht&#10;bFBLAQIUABQAAAAIAIdO4kC3nYaW+wEAADYEAAAOAAAAAAAAAAEAIAAAACUBAABkcnMvZTJvRG9j&#10;LnhtbFBLBQYAAAAABgAGAFkBAACSBQAAAAA=&#10;">
            <v:path/>
            <v:fill focussize="0,0"/>
            <v:stroke joinstyle="miter"/>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竞标人：（公章）</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spacing w:line="450" w:lineRule="exact"/>
        <w:ind w:firstLine="56" w:firstLineChars="20"/>
        <w:rPr>
          <w:rFonts w:ascii="仿宋" w:hAnsi="仿宋" w:eastAsia="仿宋"/>
          <w:sz w:val="28"/>
          <w:szCs w:val="28"/>
        </w:rPr>
      </w:pPr>
    </w:p>
    <w:p>
      <w:pPr>
        <w:rPr>
          <w:rFonts w:ascii="仿宋" w:hAnsi="仿宋" w:eastAsia="仿宋"/>
          <w:sz w:val="28"/>
          <w:szCs w:val="28"/>
        </w:rPr>
      </w:pPr>
    </w:p>
    <w:p>
      <w:pPr>
        <w:pStyle w:val="4"/>
        <w:rPr>
          <w:rFonts w:ascii="仿宋" w:hAnsi="仿宋" w:eastAsia="仿宋"/>
        </w:rPr>
      </w:pPr>
      <w:bookmarkStart w:id="26" w:name="_Toc27683"/>
      <w:bookmarkStart w:id="27" w:name="_Toc2950280"/>
      <w:bookmarkStart w:id="28" w:name="_Toc2950403"/>
      <w:r>
        <w:rPr>
          <w:rFonts w:hint="eastAsia" w:ascii="仿宋" w:hAnsi="仿宋" w:eastAsia="仿宋"/>
        </w:rPr>
        <w:t>格式五</w:t>
      </w:r>
      <w:bookmarkEnd w:id="26"/>
      <w:bookmarkEnd w:id="27"/>
      <w:bookmarkEnd w:id="28"/>
    </w:p>
    <w:p>
      <w:pPr>
        <w:jc w:val="center"/>
        <w:rPr>
          <w:rFonts w:ascii="仿宋" w:hAnsi="仿宋" w:eastAsia="仿宋"/>
          <w:sz w:val="28"/>
          <w:szCs w:val="28"/>
        </w:rPr>
      </w:pPr>
      <w:r>
        <w:rPr>
          <w:rFonts w:hint="eastAsia" w:ascii="仿宋" w:hAnsi="仿宋" w:eastAsia="仿宋"/>
          <w:sz w:val="28"/>
          <w:szCs w:val="28"/>
        </w:rPr>
        <w:t>投标项目分项报价明细表</w:t>
      </w:r>
    </w:p>
    <w:p>
      <w:pPr>
        <w:spacing w:line="460" w:lineRule="exact"/>
        <w:jc w:val="center"/>
        <w:rPr>
          <w:rFonts w:ascii="仿宋" w:hAnsi="仿宋" w:eastAsia="仿宋"/>
          <w:b/>
          <w:color w:val="000000"/>
          <w:sz w:val="28"/>
          <w:szCs w:val="28"/>
        </w:rPr>
      </w:pPr>
    </w:p>
    <w:p>
      <w:pPr>
        <w:rPr>
          <w:rFonts w:ascii="仿宋" w:hAnsi="仿宋" w:eastAsia="仿宋"/>
          <w:sz w:val="28"/>
          <w:szCs w:val="28"/>
        </w:rPr>
      </w:pPr>
      <w:r>
        <w:rPr>
          <w:rFonts w:hint="eastAsia" w:ascii="仿宋" w:hAnsi="仿宋" w:eastAsia="仿宋"/>
          <w:sz w:val="28"/>
          <w:szCs w:val="28"/>
        </w:rPr>
        <w:t>项目名称：</w:t>
      </w:r>
    </w:p>
    <w:tbl>
      <w:tblPr>
        <w:tblStyle w:val="13"/>
        <w:tblW w:w="9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2566"/>
        <w:gridCol w:w="1403"/>
        <w:gridCol w:w="1701"/>
        <w:gridCol w:w="1843"/>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b/>
                <w:sz w:val="28"/>
                <w:szCs w:val="28"/>
              </w:rPr>
            </w:pPr>
            <w:r>
              <w:rPr>
                <w:rFonts w:hint="eastAsia" w:ascii="仿宋" w:hAnsi="仿宋" w:eastAsia="仿宋"/>
                <w:b/>
                <w:sz w:val="28"/>
                <w:szCs w:val="28"/>
              </w:rPr>
              <w:t>序号</w:t>
            </w:r>
          </w:p>
        </w:tc>
        <w:tc>
          <w:tcPr>
            <w:tcW w:w="2566" w:type="dxa"/>
            <w:vAlign w:val="center"/>
          </w:tcPr>
          <w:p>
            <w:pPr>
              <w:jc w:val="center"/>
              <w:rPr>
                <w:rFonts w:ascii="仿宋" w:hAnsi="仿宋" w:eastAsia="仿宋"/>
                <w:b/>
                <w:sz w:val="28"/>
                <w:szCs w:val="28"/>
              </w:rPr>
            </w:pPr>
            <w:r>
              <w:rPr>
                <w:rFonts w:hint="eastAsia" w:ascii="仿宋" w:hAnsi="仿宋" w:eastAsia="仿宋"/>
                <w:b/>
                <w:sz w:val="28"/>
                <w:szCs w:val="28"/>
              </w:rPr>
              <w:t>服务项目名称</w:t>
            </w:r>
          </w:p>
        </w:tc>
        <w:tc>
          <w:tcPr>
            <w:tcW w:w="1403" w:type="dxa"/>
            <w:vAlign w:val="center"/>
          </w:tcPr>
          <w:p>
            <w:pPr>
              <w:jc w:val="center"/>
              <w:rPr>
                <w:rFonts w:ascii="仿宋" w:hAnsi="仿宋" w:eastAsia="仿宋"/>
                <w:b/>
                <w:sz w:val="28"/>
                <w:szCs w:val="28"/>
              </w:rPr>
            </w:pPr>
            <w:r>
              <w:rPr>
                <w:rFonts w:hint="eastAsia" w:ascii="仿宋" w:hAnsi="仿宋" w:eastAsia="仿宋"/>
                <w:b/>
                <w:sz w:val="28"/>
                <w:szCs w:val="28"/>
              </w:rPr>
              <w:t>人员配备数量</w:t>
            </w:r>
          </w:p>
        </w:tc>
        <w:tc>
          <w:tcPr>
            <w:tcW w:w="1701" w:type="dxa"/>
            <w:vAlign w:val="center"/>
          </w:tcPr>
          <w:p>
            <w:pPr>
              <w:jc w:val="center"/>
              <w:rPr>
                <w:rFonts w:ascii="仿宋" w:hAnsi="仿宋" w:eastAsia="仿宋"/>
                <w:b/>
                <w:sz w:val="28"/>
                <w:szCs w:val="28"/>
              </w:rPr>
            </w:pPr>
            <w:r>
              <w:rPr>
                <w:rFonts w:hint="eastAsia" w:ascii="仿宋" w:hAnsi="仿宋" w:eastAsia="仿宋"/>
                <w:b/>
                <w:sz w:val="28"/>
                <w:szCs w:val="28"/>
              </w:rPr>
              <w:t>单价（元）</w:t>
            </w:r>
          </w:p>
        </w:tc>
        <w:tc>
          <w:tcPr>
            <w:tcW w:w="1843" w:type="dxa"/>
            <w:vAlign w:val="center"/>
          </w:tcPr>
          <w:p>
            <w:pPr>
              <w:jc w:val="center"/>
              <w:rPr>
                <w:rFonts w:ascii="仿宋" w:hAnsi="仿宋" w:eastAsia="仿宋"/>
                <w:b/>
                <w:sz w:val="28"/>
                <w:szCs w:val="28"/>
              </w:rPr>
            </w:pPr>
            <w:r>
              <w:rPr>
                <w:rFonts w:hint="eastAsia" w:ascii="仿宋" w:hAnsi="仿宋" w:eastAsia="仿宋"/>
                <w:b/>
                <w:sz w:val="28"/>
                <w:szCs w:val="28"/>
              </w:rPr>
              <w:t>总价（元）</w:t>
            </w:r>
          </w:p>
        </w:tc>
        <w:tc>
          <w:tcPr>
            <w:tcW w:w="1134" w:type="dxa"/>
            <w:vAlign w:val="center"/>
          </w:tcPr>
          <w:p>
            <w:pPr>
              <w:jc w:val="center"/>
              <w:rPr>
                <w:rFonts w:ascii="仿宋" w:hAnsi="仿宋" w:eastAsia="仿宋"/>
                <w:b/>
                <w:sz w:val="28"/>
                <w:szCs w:val="28"/>
              </w:rPr>
            </w:pPr>
            <w:r>
              <w:rPr>
                <w:rFonts w:hint="eastAsia" w:ascii="仿宋" w:hAnsi="仿宋" w:eastAsia="仿宋"/>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rPr>
            </w:pPr>
            <w:r>
              <w:rPr>
                <w:rFonts w:hint="eastAsia" w:ascii="仿宋" w:hAnsi="仿宋" w:eastAsia="仿宋"/>
                <w:sz w:val="28"/>
                <w:szCs w:val="28"/>
              </w:rPr>
              <w:t>例如：</w:t>
            </w: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rPr>
            </w:pP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rPr>
                <w:rFonts w:ascii="仿宋" w:hAnsi="仿宋" w:eastAsia="仿宋"/>
                <w:sz w:val="28"/>
                <w:szCs w:val="28"/>
              </w:rPr>
            </w:pP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rPr>
                <w:rFonts w:ascii="仿宋" w:hAnsi="仿宋" w:eastAsia="仿宋"/>
                <w:sz w:val="28"/>
                <w:szCs w:val="28"/>
              </w:rPr>
            </w:pP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rPr>
                <w:rFonts w:ascii="仿宋" w:hAnsi="仿宋" w:eastAsia="仿宋"/>
                <w:sz w:val="28"/>
                <w:szCs w:val="28"/>
              </w:rPr>
            </w:pP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rPr>
            </w:pPr>
            <w:r>
              <w:rPr>
                <w:rFonts w:hint="eastAsia" w:ascii="仿宋" w:hAnsi="仿宋" w:eastAsia="仿宋"/>
                <w:sz w:val="28"/>
                <w:szCs w:val="28"/>
              </w:rPr>
              <w:t>其他服务费用</w:t>
            </w: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rPr>
            </w:pPr>
            <w:r>
              <w:rPr>
                <w:rFonts w:hint="eastAsia" w:ascii="仿宋" w:hAnsi="仿宋" w:eastAsia="仿宋"/>
                <w:sz w:val="28"/>
                <w:szCs w:val="28"/>
              </w:rPr>
              <w:t>税费</w:t>
            </w: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highlight w:val="yellow"/>
              </w:rPr>
            </w:pPr>
          </w:p>
        </w:tc>
        <w:tc>
          <w:tcPr>
            <w:tcW w:w="1403" w:type="dxa"/>
            <w:vAlign w:val="center"/>
          </w:tcPr>
          <w:p>
            <w:pPr>
              <w:jc w:val="center"/>
              <w:rPr>
                <w:rFonts w:ascii="仿宋" w:hAnsi="仿宋" w:eastAsia="仿宋"/>
                <w:sz w:val="28"/>
                <w:szCs w:val="28"/>
                <w:highlight w:val="yellow"/>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rPr>
            </w:pP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rPr>
            </w:pP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rPr>
            </w:pP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rPr>
            </w:pP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bl>
    <w:p>
      <w:pPr>
        <w:adjustRightInd w:val="0"/>
        <w:snapToGrid w:val="0"/>
        <w:spacing w:line="460" w:lineRule="exact"/>
        <w:rPr>
          <w:rFonts w:ascii="仿宋" w:hAnsi="仿宋" w:eastAsia="仿宋"/>
          <w:color w:val="000000"/>
          <w:sz w:val="28"/>
          <w:szCs w:val="28"/>
        </w:rPr>
      </w:pPr>
      <w:r>
        <w:rPr>
          <w:rFonts w:hint="eastAsia" w:ascii="仿宋" w:hAnsi="仿宋" w:eastAsia="仿宋"/>
          <w:color w:val="000000"/>
          <w:sz w:val="28"/>
          <w:szCs w:val="28"/>
        </w:rPr>
        <w:t>说明：此表仅供参考。</w:t>
      </w:r>
    </w:p>
    <w:p>
      <w:pPr>
        <w:pStyle w:val="4"/>
        <w:rPr>
          <w:rFonts w:ascii="仿宋" w:hAnsi="仿宋" w:eastAsia="仿宋"/>
        </w:rPr>
      </w:pPr>
      <w:bookmarkStart w:id="29" w:name="_Toc2950404"/>
      <w:bookmarkStart w:id="30" w:name="_Toc359315317"/>
      <w:bookmarkStart w:id="31" w:name="_Toc23175"/>
      <w:bookmarkStart w:id="32" w:name="_Toc2950281"/>
    </w:p>
    <w:p>
      <w:pPr>
        <w:pStyle w:val="4"/>
        <w:rPr>
          <w:rFonts w:ascii="仿宋" w:hAnsi="仿宋" w:eastAsia="仿宋"/>
        </w:rPr>
      </w:pPr>
    </w:p>
    <w:p>
      <w:pPr>
        <w:pStyle w:val="4"/>
        <w:rPr>
          <w:rFonts w:ascii="仿宋" w:hAnsi="仿宋" w:eastAsia="仿宋"/>
        </w:rPr>
      </w:pPr>
    </w:p>
    <w:bookmarkEnd w:id="29"/>
    <w:bookmarkEnd w:id="30"/>
    <w:bookmarkEnd w:id="31"/>
    <w:bookmarkEnd w:id="32"/>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szCs w:val="28"/>
        </w:rPr>
      </w:pPr>
    </w:p>
    <w:sectPr>
      <w:footerReference r:id="rId3" w:type="default"/>
      <w:pgSz w:w="11906" w:h="16838"/>
      <w:pgMar w:top="1134" w:right="1077" w:bottom="1134" w:left="1077" w:header="851" w:footer="992" w:gutter="0"/>
      <w:pgBorders w:display="firstPage" w:offsetFrom="page">
        <w:top w:val="single" w:color="auto" w:sz="4" w:space="24"/>
        <w:left w:val="single" w:color="auto" w:sz="4" w:space="24"/>
        <w:bottom w:val="single" w:color="auto" w:sz="4" w:space="24"/>
        <w:right w:val="single" w:color="auto" w:sz="4" w:space="24"/>
      </w:pgBorders>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altName w:val="Arial Unicode MS"/>
    <w:panose1 w:val="00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0000000000000000000"/>
    <w:charset w:val="86"/>
    <w:family w:val="swiss"/>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fldChar w:fldCharType="begin"/>
    </w:r>
    <w:r>
      <w:instrText xml:space="preserve">PAGE   \* MERGEFORMAT</w:instrText>
    </w:r>
    <w:r>
      <w:fldChar w:fldCharType="separate"/>
    </w:r>
    <w:r>
      <w:rPr>
        <w:lang w:val="zh-CN"/>
      </w:rPr>
      <w:t>3</w:t>
    </w:r>
    <w:r>
      <w:rPr>
        <w:lang w:val="zh-CN"/>
      </w:rPr>
      <w:fldChar w:fldCharType="end"/>
    </w:r>
  </w:p>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displayBackgroundShape w:val="1"/>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jZkMDhhMGI4MGQ2OTE2NTA3ZmY0MDM1YWNlM2UwMTkifQ=="/>
  </w:docVars>
  <w:rsids>
    <w:rsidRoot w:val="00A20D13"/>
    <w:rsid w:val="00000024"/>
    <w:rsid w:val="00001FF8"/>
    <w:rsid w:val="000035BE"/>
    <w:rsid w:val="0000367D"/>
    <w:rsid w:val="00003984"/>
    <w:rsid w:val="00006A1C"/>
    <w:rsid w:val="00007706"/>
    <w:rsid w:val="00007966"/>
    <w:rsid w:val="00016A2F"/>
    <w:rsid w:val="00016C74"/>
    <w:rsid w:val="00023047"/>
    <w:rsid w:val="000244D2"/>
    <w:rsid w:val="0002577C"/>
    <w:rsid w:val="00026C40"/>
    <w:rsid w:val="00040A90"/>
    <w:rsid w:val="00041B43"/>
    <w:rsid w:val="00045395"/>
    <w:rsid w:val="00046265"/>
    <w:rsid w:val="00047612"/>
    <w:rsid w:val="00047661"/>
    <w:rsid w:val="00050E06"/>
    <w:rsid w:val="000516AF"/>
    <w:rsid w:val="000538B2"/>
    <w:rsid w:val="0007090C"/>
    <w:rsid w:val="0007185C"/>
    <w:rsid w:val="00071FE6"/>
    <w:rsid w:val="0007357F"/>
    <w:rsid w:val="00077D80"/>
    <w:rsid w:val="00080461"/>
    <w:rsid w:val="00092B40"/>
    <w:rsid w:val="0009419A"/>
    <w:rsid w:val="000A00F3"/>
    <w:rsid w:val="000A6803"/>
    <w:rsid w:val="000B0EC3"/>
    <w:rsid w:val="000B1326"/>
    <w:rsid w:val="000B4CE5"/>
    <w:rsid w:val="000B626F"/>
    <w:rsid w:val="000C2CA3"/>
    <w:rsid w:val="000D7814"/>
    <w:rsid w:val="000D7DB6"/>
    <w:rsid w:val="000E17E1"/>
    <w:rsid w:val="000E241D"/>
    <w:rsid w:val="000E3D09"/>
    <w:rsid w:val="000E47CE"/>
    <w:rsid w:val="000E497E"/>
    <w:rsid w:val="000F2C6D"/>
    <w:rsid w:val="000F59DD"/>
    <w:rsid w:val="000F74A8"/>
    <w:rsid w:val="00103C29"/>
    <w:rsid w:val="00105A93"/>
    <w:rsid w:val="001063F4"/>
    <w:rsid w:val="00111A29"/>
    <w:rsid w:val="00112446"/>
    <w:rsid w:val="001126FF"/>
    <w:rsid w:val="0011297F"/>
    <w:rsid w:val="00116C66"/>
    <w:rsid w:val="0011741B"/>
    <w:rsid w:val="00126C01"/>
    <w:rsid w:val="00126ED8"/>
    <w:rsid w:val="001312B2"/>
    <w:rsid w:val="001353EA"/>
    <w:rsid w:val="00141CE7"/>
    <w:rsid w:val="00142433"/>
    <w:rsid w:val="00143A9D"/>
    <w:rsid w:val="00143D24"/>
    <w:rsid w:val="001459E1"/>
    <w:rsid w:val="001516AB"/>
    <w:rsid w:val="00153F5D"/>
    <w:rsid w:val="001568D3"/>
    <w:rsid w:val="0016070C"/>
    <w:rsid w:val="00160EED"/>
    <w:rsid w:val="0016454E"/>
    <w:rsid w:val="0016456F"/>
    <w:rsid w:val="00165FE5"/>
    <w:rsid w:val="0017066D"/>
    <w:rsid w:val="00170AE4"/>
    <w:rsid w:val="00174182"/>
    <w:rsid w:val="00176D82"/>
    <w:rsid w:val="00177FCC"/>
    <w:rsid w:val="0018038B"/>
    <w:rsid w:val="001A18B1"/>
    <w:rsid w:val="001A2D39"/>
    <w:rsid w:val="001B2303"/>
    <w:rsid w:val="001B5F23"/>
    <w:rsid w:val="001C4D46"/>
    <w:rsid w:val="001C4EDD"/>
    <w:rsid w:val="001C5422"/>
    <w:rsid w:val="001C5F3D"/>
    <w:rsid w:val="001C6343"/>
    <w:rsid w:val="001C6935"/>
    <w:rsid w:val="001C73B4"/>
    <w:rsid w:val="001D4855"/>
    <w:rsid w:val="001E7CE2"/>
    <w:rsid w:val="001E7F3D"/>
    <w:rsid w:val="001F372B"/>
    <w:rsid w:val="001F40EE"/>
    <w:rsid w:val="001F79D8"/>
    <w:rsid w:val="002172B3"/>
    <w:rsid w:val="00217A85"/>
    <w:rsid w:val="00217FB3"/>
    <w:rsid w:val="00222254"/>
    <w:rsid w:val="0022308E"/>
    <w:rsid w:val="00223667"/>
    <w:rsid w:val="00225508"/>
    <w:rsid w:val="0022692A"/>
    <w:rsid w:val="002272FD"/>
    <w:rsid w:val="0023075E"/>
    <w:rsid w:val="0023410F"/>
    <w:rsid w:val="002348C8"/>
    <w:rsid w:val="002360C6"/>
    <w:rsid w:val="00243EE3"/>
    <w:rsid w:val="00251D44"/>
    <w:rsid w:val="0025210A"/>
    <w:rsid w:val="002553FC"/>
    <w:rsid w:val="002557F9"/>
    <w:rsid w:val="0026004A"/>
    <w:rsid w:val="0026485C"/>
    <w:rsid w:val="002667F3"/>
    <w:rsid w:val="00270703"/>
    <w:rsid w:val="00271C12"/>
    <w:rsid w:val="0027547E"/>
    <w:rsid w:val="00275C40"/>
    <w:rsid w:val="00275FDE"/>
    <w:rsid w:val="002861E4"/>
    <w:rsid w:val="00286C22"/>
    <w:rsid w:val="002926E0"/>
    <w:rsid w:val="002A01BA"/>
    <w:rsid w:val="002A071B"/>
    <w:rsid w:val="002A595A"/>
    <w:rsid w:val="002A79E9"/>
    <w:rsid w:val="002B506F"/>
    <w:rsid w:val="002B62FA"/>
    <w:rsid w:val="002C5287"/>
    <w:rsid w:val="002D011A"/>
    <w:rsid w:val="002D286E"/>
    <w:rsid w:val="002D588E"/>
    <w:rsid w:val="002D6456"/>
    <w:rsid w:val="002E69D4"/>
    <w:rsid w:val="002F1FFD"/>
    <w:rsid w:val="002F65F9"/>
    <w:rsid w:val="002F6744"/>
    <w:rsid w:val="002F7AEE"/>
    <w:rsid w:val="003015FF"/>
    <w:rsid w:val="003034F6"/>
    <w:rsid w:val="003039E2"/>
    <w:rsid w:val="00305178"/>
    <w:rsid w:val="0031237D"/>
    <w:rsid w:val="00314E01"/>
    <w:rsid w:val="00314E68"/>
    <w:rsid w:val="00316652"/>
    <w:rsid w:val="00320CC7"/>
    <w:rsid w:val="00321F9B"/>
    <w:rsid w:val="00331B68"/>
    <w:rsid w:val="003325AE"/>
    <w:rsid w:val="00333252"/>
    <w:rsid w:val="00333F06"/>
    <w:rsid w:val="00334958"/>
    <w:rsid w:val="00340912"/>
    <w:rsid w:val="003421BE"/>
    <w:rsid w:val="00345847"/>
    <w:rsid w:val="00350AEE"/>
    <w:rsid w:val="00350E8C"/>
    <w:rsid w:val="00355FA6"/>
    <w:rsid w:val="00361CCD"/>
    <w:rsid w:val="00363A89"/>
    <w:rsid w:val="0036584E"/>
    <w:rsid w:val="00367CB0"/>
    <w:rsid w:val="00374418"/>
    <w:rsid w:val="00383498"/>
    <w:rsid w:val="00385254"/>
    <w:rsid w:val="00397B55"/>
    <w:rsid w:val="003A0588"/>
    <w:rsid w:val="003A1A96"/>
    <w:rsid w:val="003A1FF8"/>
    <w:rsid w:val="003A7F82"/>
    <w:rsid w:val="003B27F8"/>
    <w:rsid w:val="003B2EAE"/>
    <w:rsid w:val="003B584E"/>
    <w:rsid w:val="003B75E8"/>
    <w:rsid w:val="003C0FD3"/>
    <w:rsid w:val="003C442B"/>
    <w:rsid w:val="003D757E"/>
    <w:rsid w:val="003E4A6B"/>
    <w:rsid w:val="003F0279"/>
    <w:rsid w:val="00403E50"/>
    <w:rsid w:val="00404665"/>
    <w:rsid w:val="00404CB1"/>
    <w:rsid w:val="0040751F"/>
    <w:rsid w:val="00412FCF"/>
    <w:rsid w:val="004168D2"/>
    <w:rsid w:val="00416E50"/>
    <w:rsid w:val="00426424"/>
    <w:rsid w:val="00426C4A"/>
    <w:rsid w:val="00430EF4"/>
    <w:rsid w:val="00431AE8"/>
    <w:rsid w:val="00432121"/>
    <w:rsid w:val="00436185"/>
    <w:rsid w:val="00440DEE"/>
    <w:rsid w:val="00445F3E"/>
    <w:rsid w:val="00455479"/>
    <w:rsid w:val="00455FE1"/>
    <w:rsid w:val="004610A7"/>
    <w:rsid w:val="0046766B"/>
    <w:rsid w:val="00477AC1"/>
    <w:rsid w:val="00483CAC"/>
    <w:rsid w:val="004906FE"/>
    <w:rsid w:val="004959D3"/>
    <w:rsid w:val="004A143A"/>
    <w:rsid w:val="004A4482"/>
    <w:rsid w:val="004A7C1E"/>
    <w:rsid w:val="004B2D51"/>
    <w:rsid w:val="004B53D3"/>
    <w:rsid w:val="004B55D3"/>
    <w:rsid w:val="004C34C0"/>
    <w:rsid w:val="004C3C79"/>
    <w:rsid w:val="004D1ADF"/>
    <w:rsid w:val="004D2991"/>
    <w:rsid w:val="004D678C"/>
    <w:rsid w:val="004E28E5"/>
    <w:rsid w:val="004E5053"/>
    <w:rsid w:val="004E71AA"/>
    <w:rsid w:val="004E7DD9"/>
    <w:rsid w:val="004F586D"/>
    <w:rsid w:val="00501348"/>
    <w:rsid w:val="0050437A"/>
    <w:rsid w:val="00506F53"/>
    <w:rsid w:val="00507E70"/>
    <w:rsid w:val="0051070D"/>
    <w:rsid w:val="005114D5"/>
    <w:rsid w:val="005154D8"/>
    <w:rsid w:val="00517A55"/>
    <w:rsid w:val="005240C3"/>
    <w:rsid w:val="005259E2"/>
    <w:rsid w:val="0052690E"/>
    <w:rsid w:val="0053397C"/>
    <w:rsid w:val="00535034"/>
    <w:rsid w:val="00540697"/>
    <w:rsid w:val="00547D14"/>
    <w:rsid w:val="00550C59"/>
    <w:rsid w:val="00551B97"/>
    <w:rsid w:val="00552051"/>
    <w:rsid w:val="00552FFF"/>
    <w:rsid w:val="00553C05"/>
    <w:rsid w:val="00555DCE"/>
    <w:rsid w:val="00555EFF"/>
    <w:rsid w:val="0055663E"/>
    <w:rsid w:val="0056245B"/>
    <w:rsid w:val="00570C10"/>
    <w:rsid w:val="005733CF"/>
    <w:rsid w:val="00574889"/>
    <w:rsid w:val="00577DF2"/>
    <w:rsid w:val="0058102E"/>
    <w:rsid w:val="00581161"/>
    <w:rsid w:val="005824B8"/>
    <w:rsid w:val="00585A54"/>
    <w:rsid w:val="00585CAF"/>
    <w:rsid w:val="00590EA7"/>
    <w:rsid w:val="005A0083"/>
    <w:rsid w:val="005A488C"/>
    <w:rsid w:val="005A7FED"/>
    <w:rsid w:val="005B0960"/>
    <w:rsid w:val="005B0A70"/>
    <w:rsid w:val="005C53DB"/>
    <w:rsid w:val="005D2774"/>
    <w:rsid w:val="005E17FE"/>
    <w:rsid w:val="005E496E"/>
    <w:rsid w:val="005F04AC"/>
    <w:rsid w:val="005F1F6B"/>
    <w:rsid w:val="0060227F"/>
    <w:rsid w:val="00615938"/>
    <w:rsid w:val="00622D6A"/>
    <w:rsid w:val="006230DF"/>
    <w:rsid w:val="0062696F"/>
    <w:rsid w:val="00627800"/>
    <w:rsid w:val="006347AF"/>
    <w:rsid w:val="006421B3"/>
    <w:rsid w:val="006423D7"/>
    <w:rsid w:val="006551D5"/>
    <w:rsid w:val="00662297"/>
    <w:rsid w:val="006716DF"/>
    <w:rsid w:val="00671D73"/>
    <w:rsid w:val="00677E11"/>
    <w:rsid w:val="00686D25"/>
    <w:rsid w:val="00687FF2"/>
    <w:rsid w:val="006924B1"/>
    <w:rsid w:val="00693D5F"/>
    <w:rsid w:val="00696887"/>
    <w:rsid w:val="006A3404"/>
    <w:rsid w:val="006A50FD"/>
    <w:rsid w:val="006A664A"/>
    <w:rsid w:val="006B10CF"/>
    <w:rsid w:val="006B3AAD"/>
    <w:rsid w:val="006B4E22"/>
    <w:rsid w:val="006B65A3"/>
    <w:rsid w:val="006B6CDF"/>
    <w:rsid w:val="006C1761"/>
    <w:rsid w:val="006C57FA"/>
    <w:rsid w:val="006C6221"/>
    <w:rsid w:val="006D1AEE"/>
    <w:rsid w:val="006D4CA8"/>
    <w:rsid w:val="006E1646"/>
    <w:rsid w:val="006E3387"/>
    <w:rsid w:val="006E7161"/>
    <w:rsid w:val="006F102A"/>
    <w:rsid w:val="006F1E3D"/>
    <w:rsid w:val="006F7299"/>
    <w:rsid w:val="00711A1B"/>
    <w:rsid w:val="007170C5"/>
    <w:rsid w:val="007227AE"/>
    <w:rsid w:val="00723FF8"/>
    <w:rsid w:val="007243DA"/>
    <w:rsid w:val="00724EC0"/>
    <w:rsid w:val="007262C9"/>
    <w:rsid w:val="00726EB6"/>
    <w:rsid w:val="00731428"/>
    <w:rsid w:val="00734926"/>
    <w:rsid w:val="00744987"/>
    <w:rsid w:val="0075139E"/>
    <w:rsid w:val="007547F8"/>
    <w:rsid w:val="0075546B"/>
    <w:rsid w:val="00765AAE"/>
    <w:rsid w:val="00777FB1"/>
    <w:rsid w:val="007870AA"/>
    <w:rsid w:val="00787267"/>
    <w:rsid w:val="007912FD"/>
    <w:rsid w:val="007934D6"/>
    <w:rsid w:val="007951E3"/>
    <w:rsid w:val="007959C7"/>
    <w:rsid w:val="00796909"/>
    <w:rsid w:val="007A3598"/>
    <w:rsid w:val="007B1DA3"/>
    <w:rsid w:val="007C0FC5"/>
    <w:rsid w:val="007C40BA"/>
    <w:rsid w:val="007C79BA"/>
    <w:rsid w:val="007D7A93"/>
    <w:rsid w:val="007E1F55"/>
    <w:rsid w:val="007E262E"/>
    <w:rsid w:val="007E52A0"/>
    <w:rsid w:val="007E6667"/>
    <w:rsid w:val="007E68D1"/>
    <w:rsid w:val="007E6BE7"/>
    <w:rsid w:val="007E725C"/>
    <w:rsid w:val="007F0994"/>
    <w:rsid w:val="007F0B26"/>
    <w:rsid w:val="007F601D"/>
    <w:rsid w:val="007F6C43"/>
    <w:rsid w:val="0080350D"/>
    <w:rsid w:val="00805819"/>
    <w:rsid w:val="008135F0"/>
    <w:rsid w:val="00821CEF"/>
    <w:rsid w:val="0082471A"/>
    <w:rsid w:val="0082538C"/>
    <w:rsid w:val="00826980"/>
    <w:rsid w:val="008273A3"/>
    <w:rsid w:val="008328FF"/>
    <w:rsid w:val="00835562"/>
    <w:rsid w:val="008355F9"/>
    <w:rsid w:val="00841086"/>
    <w:rsid w:val="008434C0"/>
    <w:rsid w:val="00843AA5"/>
    <w:rsid w:val="0084537B"/>
    <w:rsid w:val="00847AE5"/>
    <w:rsid w:val="0085042D"/>
    <w:rsid w:val="00856463"/>
    <w:rsid w:val="00856996"/>
    <w:rsid w:val="008615DE"/>
    <w:rsid w:val="0086419F"/>
    <w:rsid w:val="008668D6"/>
    <w:rsid w:val="00867FF6"/>
    <w:rsid w:val="00884595"/>
    <w:rsid w:val="00884BC7"/>
    <w:rsid w:val="00885491"/>
    <w:rsid w:val="008879E6"/>
    <w:rsid w:val="00890345"/>
    <w:rsid w:val="00894764"/>
    <w:rsid w:val="00896DBB"/>
    <w:rsid w:val="008A5D3C"/>
    <w:rsid w:val="008B4B4F"/>
    <w:rsid w:val="008B519D"/>
    <w:rsid w:val="008D0C18"/>
    <w:rsid w:val="008D3918"/>
    <w:rsid w:val="008D3CC2"/>
    <w:rsid w:val="008D4EB5"/>
    <w:rsid w:val="008F520E"/>
    <w:rsid w:val="008F7099"/>
    <w:rsid w:val="00902B40"/>
    <w:rsid w:val="009030D4"/>
    <w:rsid w:val="009047A1"/>
    <w:rsid w:val="00904FBD"/>
    <w:rsid w:val="00905003"/>
    <w:rsid w:val="009136C5"/>
    <w:rsid w:val="009139C2"/>
    <w:rsid w:val="009155B9"/>
    <w:rsid w:val="00915784"/>
    <w:rsid w:val="00915F4D"/>
    <w:rsid w:val="00917D9D"/>
    <w:rsid w:val="009228AB"/>
    <w:rsid w:val="009229E3"/>
    <w:rsid w:val="009241DC"/>
    <w:rsid w:val="00926F34"/>
    <w:rsid w:val="00933BAD"/>
    <w:rsid w:val="00935242"/>
    <w:rsid w:val="00941874"/>
    <w:rsid w:val="00945532"/>
    <w:rsid w:val="00955EE7"/>
    <w:rsid w:val="00965FB8"/>
    <w:rsid w:val="00966348"/>
    <w:rsid w:val="009726E6"/>
    <w:rsid w:val="00974BF7"/>
    <w:rsid w:val="0098222B"/>
    <w:rsid w:val="00985FBC"/>
    <w:rsid w:val="00991A72"/>
    <w:rsid w:val="009A3448"/>
    <w:rsid w:val="009A5E7C"/>
    <w:rsid w:val="009A6784"/>
    <w:rsid w:val="009B3246"/>
    <w:rsid w:val="009B38B0"/>
    <w:rsid w:val="009B4439"/>
    <w:rsid w:val="009B4C50"/>
    <w:rsid w:val="009B732D"/>
    <w:rsid w:val="009B7BE4"/>
    <w:rsid w:val="009C303B"/>
    <w:rsid w:val="009C3E46"/>
    <w:rsid w:val="009C57F2"/>
    <w:rsid w:val="009C7EFB"/>
    <w:rsid w:val="009D38CA"/>
    <w:rsid w:val="009E00F0"/>
    <w:rsid w:val="009E61DC"/>
    <w:rsid w:val="009F3EFE"/>
    <w:rsid w:val="009F5ADD"/>
    <w:rsid w:val="00A10E7E"/>
    <w:rsid w:val="00A12CD9"/>
    <w:rsid w:val="00A1360E"/>
    <w:rsid w:val="00A15DFB"/>
    <w:rsid w:val="00A20D13"/>
    <w:rsid w:val="00A2620F"/>
    <w:rsid w:val="00A34D52"/>
    <w:rsid w:val="00A417C2"/>
    <w:rsid w:val="00A41D67"/>
    <w:rsid w:val="00A42258"/>
    <w:rsid w:val="00A43007"/>
    <w:rsid w:val="00A47AE8"/>
    <w:rsid w:val="00A547A9"/>
    <w:rsid w:val="00A63E9A"/>
    <w:rsid w:val="00A92682"/>
    <w:rsid w:val="00AA63BE"/>
    <w:rsid w:val="00AA6A83"/>
    <w:rsid w:val="00AA71E7"/>
    <w:rsid w:val="00AA788F"/>
    <w:rsid w:val="00AB0B07"/>
    <w:rsid w:val="00AB0CDE"/>
    <w:rsid w:val="00AB39AC"/>
    <w:rsid w:val="00AB4BB6"/>
    <w:rsid w:val="00AC12B8"/>
    <w:rsid w:val="00AC5ADF"/>
    <w:rsid w:val="00AD69A6"/>
    <w:rsid w:val="00AE043E"/>
    <w:rsid w:val="00AF0A04"/>
    <w:rsid w:val="00AF26F6"/>
    <w:rsid w:val="00AF37CB"/>
    <w:rsid w:val="00AF5E57"/>
    <w:rsid w:val="00AF6600"/>
    <w:rsid w:val="00AF6D03"/>
    <w:rsid w:val="00AF7E10"/>
    <w:rsid w:val="00B010B1"/>
    <w:rsid w:val="00B02B7D"/>
    <w:rsid w:val="00B05D33"/>
    <w:rsid w:val="00B212E3"/>
    <w:rsid w:val="00B23864"/>
    <w:rsid w:val="00B27BCC"/>
    <w:rsid w:val="00B36465"/>
    <w:rsid w:val="00B41952"/>
    <w:rsid w:val="00B420F2"/>
    <w:rsid w:val="00B4287B"/>
    <w:rsid w:val="00B45932"/>
    <w:rsid w:val="00B45EC7"/>
    <w:rsid w:val="00B65541"/>
    <w:rsid w:val="00B676C5"/>
    <w:rsid w:val="00B67D21"/>
    <w:rsid w:val="00B742F3"/>
    <w:rsid w:val="00B8086C"/>
    <w:rsid w:val="00B81DD9"/>
    <w:rsid w:val="00BA27FA"/>
    <w:rsid w:val="00BA3DAF"/>
    <w:rsid w:val="00BB01E2"/>
    <w:rsid w:val="00BB2593"/>
    <w:rsid w:val="00BB4826"/>
    <w:rsid w:val="00BB518F"/>
    <w:rsid w:val="00BC5B98"/>
    <w:rsid w:val="00BC67A5"/>
    <w:rsid w:val="00BD1CAE"/>
    <w:rsid w:val="00BD2CBD"/>
    <w:rsid w:val="00BD4523"/>
    <w:rsid w:val="00BD5390"/>
    <w:rsid w:val="00BD665B"/>
    <w:rsid w:val="00BE2353"/>
    <w:rsid w:val="00BE4677"/>
    <w:rsid w:val="00BF28AA"/>
    <w:rsid w:val="00BF5BC8"/>
    <w:rsid w:val="00C04559"/>
    <w:rsid w:val="00C06A93"/>
    <w:rsid w:val="00C113CD"/>
    <w:rsid w:val="00C24A80"/>
    <w:rsid w:val="00C24C41"/>
    <w:rsid w:val="00C250D0"/>
    <w:rsid w:val="00C32DFF"/>
    <w:rsid w:val="00C35B51"/>
    <w:rsid w:val="00C404FB"/>
    <w:rsid w:val="00C47704"/>
    <w:rsid w:val="00C64138"/>
    <w:rsid w:val="00C65DF4"/>
    <w:rsid w:val="00C71469"/>
    <w:rsid w:val="00C764D1"/>
    <w:rsid w:val="00C775B8"/>
    <w:rsid w:val="00C80681"/>
    <w:rsid w:val="00C81B51"/>
    <w:rsid w:val="00C83B6E"/>
    <w:rsid w:val="00C84BBB"/>
    <w:rsid w:val="00C8763C"/>
    <w:rsid w:val="00C9127E"/>
    <w:rsid w:val="00C9132D"/>
    <w:rsid w:val="00C952F6"/>
    <w:rsid w:val="00C976F6"/>
    <w:rsid w:val="00CA1C12"/>
    <w:rsid w:val="00CA1ED5"/>
    <w:rsid w:val="00CA63E1"/>
    <w:rsid w:val="00CB3966"/>
    <w:rsid w:val="00CB4856"/>
    <w:rsid w:val="00CC3394"/>
    <w:rsid w:val="00CC34B1"/>
    <w:rsid w:val="00CD2878"/>
    <w:rsid w:val="00CD37DB"/>
    <w:rsid w:val="00CD4148"/>
    <w:rsid w:val="00CD57B7"/>
    <w:rsid w:val="00CD6E91"/>
    <w:rsid w:val="00CD7D82"/>
    <w:rsid w:val="00CE5526"/>
    <w:rsid w:val="00CF05B7"/>
    <w:rsid w:val="00CF1515"/>
    <w:rsid w:val="00CF2DE2"/>
    <w:rsid w:val="00CF3D55"/>
    <w:rsid w:val="00D018F2"/>
    <w:rsid w:val="00D055E7"/>
    <w:rsid w:val="00D16C61"/>
    <w:rsid w:val="00D1725E"/>
    <w:rsid w:val="00D2745E"/>
    <w:rsid w:val="00D31029"/>
    <w:rsid w:val="00D34853"/>
    <w:rsid w:val="00D35E35"/>
    <w:rsid w:val="00D3744B"/>
    <w:rsid w:val="00D37B19"/>
    <w:rsid w:val="00D43B98"/>
    <w:rsid w:val="00D454CC"/>
    <w:rsid w:val="00D502DA"/>
    <w:rsid w:val="00D509C8"/>
    <w:rsid w:val="00D5245A"/>
    <w:rsid w:val="00D5255D"/>
    <w:rsid w:val="00D53D5F"/>
    <w:rsid w:val="00D547BB"/>
    <w:rsid w:val="00D72237"/>
    <w:rsid w:val="00D72D16"/>
    <w:rsid w:val="00D75A22"/>
    <w:rsid w:val="00D76A2F"/>
    <w:rsid w:val="00D840B8"/>
    <w:rsid w:val="00D90BC6"/>
    <w:rsid w:val="00D93DEC"/>
    <w:rsid w:val="00D93E78"/>
    <w:rsid w:val="00D95B7C"/>
    <w:rsid w:val="00DA7347"/>
    <w:rsid w:val="00DB31C6"/>
    <w:rsid w:val="00DB7D0B"/>
    <w:rsid w:val="00DC027A"/>
    <w:rsid w:val="00DC46CB"/>
    <w:rsid w:val="00DC77AE"/>
    <w:rsid w:val="00DD1802"/>
    <w:rsid w:val="00DD36AA"/>
    <w:rsid w:val="00DE11CF"/>
    <w:rsid w:val="00DE4698"/>
    <w:rsid w:val="00DE477B"/>
    <w:rsid w:val="00DE57C5"/>
    <w:rsid w:val="00DF0D16"/>
    <w:rsid w:val="00DF10E5"/>
    <w:rsid w:val="00DF4142"/>
    <w:rsid w:val="00DF7448"/>
    <w:rsid w:val="00E021FF"/>
    <w:rsid w:val="00E07445"/>
    <w:rsid w:val="00E11B08"/>
    <w:rsid w:val="00E13813"/>
    <w:rsid w:val="00E1563F"/>
    <w:rsid w:val="00E162AB"/>
    <w:rsid w:val="00E17E03"/>
    <w:rsid w:val="00E22C8E"/>
    <w:rsid w:val="00E33A97"/>
    <w:rsid w:val="00E4084D"/>
    <w:rsid w:val="00E44200"/>
    <w:rsid w:val="00E44EAD"/>
    <w:rsid w:val="00E534AF"/>
    <w:rsid w:val="00E54CD2"/>
    <w:rsid w:val="00E54DEB"/>
    <w:rsid w:val="00E5661A"/>
    <w:rsid w:val="00E568C1"/>
    <w:rsid w:val="00E60A08"/>
    <w:rsid w:val="00E61B38"/>
    <w:rsid w:val="00E705CA"/>
    <w:rsid w:val="00E7481D"/>
    <w:rsid w:val="00E759EA"/>
    <w:rsid w:val="00E77766"/>
    <w:rsid w:val="00E77B31"/>
    <w:rsid w:val="00E81F62"/>
    <w:rsid w:val="00E83EE4"/>
    <w:rsid w:val="00E84F7E"/>
    <w:rsid w:val="00E8550C"/>
    <w:rsid w:val="00E93D9E"/>
    <w:rsid w:val="00E9429E"/>
    <w:rsid w:val="00E944A6"/>
    <w:rsid w:val="00E9548C"/>
    <w:rsid w:val="00E978F3"/>
    <w:rsid w:val="00EA0E0F"/>
    <w:rsid w:val="00EB2A8D"/>
    <w:rsid w:val="00EB4D47"/>
    <w:rsid w:val="00EB50B0"/>
    <w:rsid w:val="00EB5623"/>
    <w:rsid w:val="00EC2954"/>
    <w:rsid w:val="00EC32B3"/>
    <w:rsid w:val="00EC5312"/>
    <w:rsid w:val="00ED1662"/>
    <w:rsid w:val="00EE0303"/>
    <w:rsid w:val="00EF7D4D"/>
    <w:rsid w:val="00F0128D"/>
    <w:rsid w:val="00F01A74"/>
    <w:rsid w:val="00F028EB"/>
    <w:rsid w:val="00F03927"/>
    <w:rsid w:val="00F0420E"/>
    <w:rsid w:val="00F0509F"/>
    <w:rsid w:val="00F064B2"/>
    <w:rsid w:val="00F06C86"/>
    <w:rsid w:val="00F071B9"/>
    <w:rsid w:val="00F1146C"/>
    <w:rsid w:val="00F15131"/>
    <w:rsid w:val="00F16346"/>
    <w:rsid w:val="00F165C8"/>
    <w:rsid w:val="00F16FD1"/>
    <w:rsid w:val="00F23342"/>
    <w:rsid w:val="00F26107"/>
    <w:rsid w:val="00F2656C"/>
    <w:rsid w:val="00F3073F"/>
    <w:rsid w:val="00F30C78"/>
    <w:rsid w:val="00F3206E"/>
    <w:rsid w:val="00F3784F"/>
    <w:rsid w:val="00F37BBC"/>
    <w:rsid w:val="00F42331"/>
    <w:rsid w:val="00F4249E"/>
    <w:rsid w:val="00F424C2"/>
    <w:rsid w:val="00F426AB"/>
    <w:rsid w:val="00F537FC"/>
    <w:rsid w:val="00F57506"/>
    <w:rsid w:val="00F57B1F"/>
    <w:rsid w:val="00F6239E"/>
    <w:rsid w:val="00F74B50"/>
    <w:rsid w:val="00F82BDF"/>
    <w:rsid w:val="00F84738"/>
    <w:rsid w:val="00F85363"/>
    <w:rsid w:val="00F87521"/>
    <w:rsid w:val="00F90C88"/>
    <w:rsid w:val="00F940AE"/>
    <w:rsid w:val="00F955E7"/>
    <w:rsid w:val="00FA4FEE"/>
    <w:rsid w:val="00FA522E"/>
    <w:rsid w:val="00FA79E2"/>
    <w:rsid w:val="00FB14AC"/>
    <w:rsid w:val="00FC547F"/>
    <w:rsid w:val="00FC6B98"/>
    <w:rsid w:val="00FC7F1F"/>
    <w:rsid w:val="00FD1525"/>
    <w:rsid w:val="00FD5C33"/>
    <w:rsid w:val="00FD653A"/>
    <w:rsid w:val="00FD7317"/>
    <w:rsid w:val="00FF5F79"/>
    <w:rsid w:val="01844F01"/>
    <w:rsid w:val="049E59A7"/>
    <w:rsid w:val="05A244E2"/>
    <w:rsid w:val="0952701A"/>
    <w:rsid w:val="150B1FE2"/>
    <w:rsid w:val="17DB2767"/>
    <w:rsid w:val="182E403B"/>
    <w:rsid w:val="1FB57E42"/>
    <w:rsid w:val="22A152D0"/>
    <w:rsid w:val="2C8C5D24"/>
    <w:rsid w:val="32DE3AEA"/>
    <w:rsid w:val="36EF1805"/>
    <w:rsid w:val="37614946"/>
    <w:rsid w:val="3AD3340A"/>
    <w:rsid w:val="3F39242B"/>
    <w:rsid w:val="3FB57642"/>
    <w:rsid w:val="42654909"/>
    <w:rsid w:val="46F94513"/>
    <w:rsid w:val="4ED979FF"/>
    <w:rsid w:val="57D7804F"/>
    <w:rsid w:val="5DFF2CF7"/>
    <w:rsid w:val="5FFDC2CE"/>
    <w:rsid w:val="60F2511B"/>
    <w:rsid w:val="614A55EF"/>
    <w:rsid w:val="6AAC038F"/>
    <w:rsid w:val="6E5A37EA"/>
    <w:rsid w:val="6E7D35D3"/>
    <w:rsid w:val="6E7DFFAD"/>
    <w:rsid w:val="7A651EEC"/>
    <w:rsid w:val="7A8D6EF3"/>
    <w:rsid w:val="7D5830D0"/>
    <w:rsid w:val="7DFD8865"/>
    <w:rsid w:val="7F42812D"/>
    <w:rsid w:val="7FEFD05F"/>
    <w:rsid w:val="F5AFE394"/>
    <w:rsid w:val="F75FF04C"/>
    <w:rsid w:val="FFFC55A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99" w:semiHidden="0" w:name="Strong" w:locked="1"/>
    <w:lsdException w:qFormat="1" w:unhideWhenUsed="0" w:uiPriority="20" w:semiHidden="0" w:name="Emphasis" w:locked="1"/>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25"/>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4">
    <w:name w:val="heading 2"/>
    <w:basedOn w:val="1"/>
    <w:next w:val="1"/>
    <w:link w:val="26"/>
    <w:qFormat/>
    <w:uiPriority w:val="99"/>
    <w:pPr>
      <w:keepNext/>
      <w:keepLines/>
      <w:spacing w:line="416" w:lineRule="auto"/>
      <w:outlineLvl w:val="1"/>
    </w:pPr>
    <w:rPr>
      <w:rFonts w:ascii="Cambria" w:hAnsi="Cambria" w:eastAsia="仿宋_GB2312" w:cs="Cambria"/>
      <w:b/>
      <w:bCs/>
      <w:kern w:val="0"/>
      <w:sz w:val="32"/>
      <w:szCs w:val="32"/>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2"/>
    <w:basedOn w:val="1"/>
    <w:qFormat/>
    <w:uiPriority w:val="0"/>
    <w:pPr>
      <w:spacing w:after="120" w:line="480" w:lineRule="auto"/>
    </w:pPr>
  </w:style>
  <w:style w:type="paragraph" w:styleId="5">
    <w:name w:val="Body Text"/>
    <w:basedOn w:val="1"/>
    <w:qFormat/>
    <w:uiPriority w:val="0"/>
    <w:rPr>
      <w:szCs w:val="22"/>
    </w:rPr>
  </w:style>
  <w:style w:type="paragraph" w:styleId="6">
    <w:name w:val="Plain Text"/>
    <w:basedOn w:val="1"/>
    <w:link w:val="31"/>
    <w:qFormat/>
    <w:uiPriority w:val="0"/>
    <w:pPr>
      <w:jc w:val="left"/>
    </w:pPr>
    <w:rPr>
      <w:rFonts w:ascii="宋体" w:hAnsi="Courier New" w:cs="宋体"/>
      <w:kern w:val="0"/>
    </w:rPr>
  </w:style>
  <w:style w:type="paragraph" w:styleId="7">
    <w:name w:val="Balloon Text"/>
    <w:basedOn w:val="1"/>
    <w:link w:val="27"/>
    <w:qFormat/>
    <w:uiPriority w:val="99"/>
    <w:rPr>
      <w:rFonts w:ascii="Times New Roman" w:hAnsi="Times New Roman" w:cs="Times New Roman"/>
      <w:kern w:val="0"/>
      <w:sz w:val="18"/>
      <w:szCs w:val="18"/>
    </w:rPr>
  </w:style>
  <w:style w:type="paragraph" w:styleId="8">
    <w:name w:val="footer"/>
    <w:basedOn w:val="1"/>
    <w:link w:val="28"/>
    <w:qFormat/>
    <w:uiPriority w:val="0"/>
    <w:pPr>
      <w:tabs>
        <w:tab w:val="center" w:pos="4153"/>
        <w:tab w:val="right" w:pos="8306"/>
      </w:tabs>
      <w:snapToGrid w:val="0"/>
      <w:jc w:val="left"/>
    </w:pPr>
    <w:rPr>
      <w:rFonts w:ascii="Times New Roman" w:hAnsi="Times New Roman" w:cs="Times New Roman"/>
      <w:kern w:val="0"/>
      <w:sz w:val="18"/>
      <w:szCs w:val="18"/>
    </w:rPr>
  </w:style>
  <w:style w:type="paragraph" w:styleId="9">
    <w:name w:val="header"/>
    <w:basedOn w:val="1"/>
    <w:link w:val="29"/>
    <w:qFormat/>
    <w:uiPriority w:val="0"/>
    <w:pPr>
      <w:pBdr>
        <w:bottom w:val="single" w:color="auto" w:sz="6" w:space="1"/>
      </w:pBdr>
      <w:tabs>
        <w:tab w:val="center" w:pos="4153"/>
        <w:tab w:val="right" w:pos="8306"/>
      </w:tabs>
      <w:snapToGrid w:val="0"/>
      <w:jc w:val="center"/>
    </w:pPr>
    <w:rPr>
      <w:rFonts w:ascii="Times New Roman" w:hAnsi="Times New Roman" w:cs="Times New Roman"/>
      <w:kern w:val="0"/>
      <w:sz w:val="18"/>
      <w:szCs w:val="18"/>
    </w:rPr>
  </w:style>
  <w:style w:type="paragraph" w:styleId="10">
    <w:name w:val="toc 1"/>
    <w:basedOn w:val="1"/>
    <w:next w:val="1"/>
    <w:qFormat/>
    <w:uiPriority w:val="39"/>
  </w:style>
  <w:style w:type="paragraph" w:styleId="11">
    <w:name w:val="toc 2"/>
    <w:basedOn w:val="1"/>
    <w:next w:val="1"/>
    <w:qFormat/>
    <w:uiPriority w:val="39"/>
    <w:pPr>
      <w:ind w:left="420" w:leftChars="200"/>
    </w:pPr>
  </w:style>
  <w:style w:type="paragraph" w:styleId="12">
    <w:name w:val="Normal (Web)"/>
    <w:basedOn w:val="1"/>
    <w:unhideWhenUsed/>
    <w:qFormat/>
    <w:uiPriority w:val="99"/>
    <w:pPr>
      <w:spacing w:before="100" w:beforeAutospacing="1" w:after="100" w:afterAutospacing="1"/>
      <w:jc w:val="left"/>
    </w:pPr>
    <w:rPr>
      <w:rFonts w:cs="Times New Roman"/>
      <w:kern w:val="0"/>
      <w:sz w:val="24"/>
    </w:rPr>
  </w:style>
  <w:style w:type="table" w:styleId="14">
    <w:name w:val="Table Grid"/>
    <w:basedOn w:val="1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qFormat/>
    <w:locked/>
    <w:uiPriority w:val="99"/>
    <w:rPr>
      <w:b/>
      <w:bCs/>
    </w:rPr>
  </w:style>
  <w:style w:type="character" w:styleId="17">
    <w:name w:val="page number"/>
    <w:basedOn w:val="15"/>
    <w:unhideWhenUsed/>
    <w:qFormat/>
    <w:uiPriority w:val="99"/>
  </w:style>
  <w:style w:type="character" w:styleId="18">
    <w:name w:val="Hyperlink"/>
    <w:qFormat/>
    <w:uiPriority w:val="99"/>
    <w:rPr>
      <w:color w:val="0000FF"/>
      <w:u w:val="single"/>
    </w:rPr>
  </w:style>
  <w:style w:type="paragraph" w:customStyle="1" w:styleId="19">
    <w:name w:val="列出段落1"/>
    <w:basedOn w:val="1"/>
    <w:qFormat/>
    <w:uiPriority w:val="99"/>
    <w:pPr>
      <w:ind w:firstLine="420" w:firstLineChars="200"/>
    </w:pPr>
  </w:style>
  <w:style w:type="paragraph" w:customStyle="1" w:styleId="20">
    <w:name w:val="_Style 23"/>
    <w:basedOn w:val="1"/>
    <w:qFormat/>
    <w:uiPriority w:val="99"/>
    <w:pPr>
      <w:widowControl/>
      <w:spacing w:after="160" w:line="240" w:lineRule="exact"/>
      <w:jc w:val="left"/>
    </w:pPr>
    <w:rPr>
      <w:rFonts w:ascii="Verdana" w:hAnsi="Verdana" w:cs="Verdana"/>
      <w:kern w:val="0"/>
      <w:sz w:val="20"/>
      <w:szCs w:val="20"/>
      <w:lang w:eastAsia="en-US"/>
    </w:rPr>
  </w:style>
  <w:style w:type="paragraph" w:customStyle="1" w:styleId="21">
    <w:name w:val="样式1"/>
    <w:basedOn w:val="1"/>
    <w:qFormat/>
    <w:uiPriority w:val="99"/>
    <w:pPr>
      <w:adjustRightInd w:val="0"/>
      <w:textAlignment w:val="baseline"/>
    </w:pPr>
    <w:rPr>
      <w:rFonts w:ascii="宋体" w:hAnsi="宋体" w:cs="宋体"/>
      <w:kern w:val="0"/>
    </w:rPr>
  </w:style>
  <w:style w:type="paragraph" w:customStyle="1" w:styleId="22">
    <w:name w:val="表格正文"/>
    <w:basedOn w:val="1"/>
    <w:qFormat/>
    <w:uiPriority w:val="99"/>
    <w:pPr>
      <w:spacing w:beforeLines="50"/>
    </w:pPr>
    <w:rPr>
      <w:rFonts w:ascii="Arial" w:hAnsi="Arial" w:cs="Arial"/>
    </w:rPr>
  </w:style>
  <w:style w:type="paragraph" w:customStyle="1" w:styleId="23">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2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5">
    <w:name w:val="标题 1 Char"/>
    <w:link w:val="3"/>
    <w:qFormat/>
    <w:locked/>
    <w:uiPriority w:val="99"/>
    <w:rPr>
      <w:rFonts w:eastAsia="仿宋_GB2312"/>
      <w:b/>
      <w:bCs/>
      <w:kern w:val="44"/>
      <w:sz w:val="44"/>
      <w:szCs w:val="44"/>
    </w:rPr>
  </w:style>
  <w:style w:type="character" w:customStyle="1" w:styleId="26">
    <w:name w:val="标题 2 Char"/>
    <w:link w:val="4"/>
    <w:qFormat/>
    <w:locked/>
    <w:uiPriority w:val="99"/>
    <w:rPr>
      <w:rFonts w:ascii="Cambria" w:hAnsi="Cambria" w:eastAsia="仿宋_GB2312" w:cs="Cambria"/>
      <w:b/>
      <w:bCs/>
      <w:sz w:val="32"/>
      <w:szCs w:val="32"/>
    </w:rPr>
  </w:style>
  <w:style w:type="character" w:customStyle="1" w:styleId="27">
    <w:name w:val="批注框文本 Char"/>
    <w:link w:val="7"/>
    <w:qFormat/>
    <w:locked/>
    <w:uiPriority w:val="99"/>
    <w:rPr>
      <w:sz w:val="18"/>
      <w:szCs w:val="18"/>
    </w:rPr>
  </w:style>
  <w:style w:type="character" w:customStyle="1" w:styleId="28">
    <w:name w:val="页脚 Char"/>
    <w:link w:val="8"/>
    <w:qFormat/>
    <w:locked/>
    <w:uiPriority w:val="99"/>
    <w:rPr>
      <w:sz w:val="18"/>
      <w:szCs w:val="18"/>
    </w:rPr>
  </w:style>
  <w:style w:type="character" w:customStyle="1" w:styleId="29">
    <w:name w:val="页眉 Char"/>
    <w:link w:val="9"/>
    <w:qFormat/>
    <w:locked/>
    <w:uiPriority w:val="99"/>
    <w:rPr>
      <w:sz w:val="18"/>
      <w:szCs w:val="18"/>
    </w:rPr>
  </w:style>
  <w:style w:type="character" w:customStyle="1" w:styleId="30">
    <w:name w:val="Plain Text Char"/>
    <w:qFormat/>
    <w:locked/>
    <w:uiPriority w:val="99"/>
    <w:rPr>
      <w:rFonts w:ascii="宋体" w:hAnsi="Courier New" w:cs="宋体"/>
      <w:sz w:val="21"/>
      <w:szCs w:val="21"/>
    </w:rPr>
  </w:style>
  <w:style w:type="character" w:customStyle="1" w:styleId="31">
    <w:name w:val="纯文本 Char"/>
    <w:link w:val="6"/>
    <w:qFormat/>
    <w:locked/>
    <w:uiPriority w:val="0"/>
    <w:rPr>
      <w:rFonts w:ascii="宋体" w:hAnsi="Courier New" w:cs="宋体"/>
      <w:sz w:val="21"/>
      <w:szCs w:val="21"/>
    </w:rPr>
  </w:style>
  <w:style w:type="character" w:customStyle="1" w:styleId="32">
    <w:name w:val="纯文本 Char1"/>
    <w:qFormat/>
    <w:uiPriority w:val="99"/>
    <w:rPr>
      <w:rFonts w:ascii="宋体" w:hAnsi="Courier New" w:cs="宋体"/>
      <w:kern w:val="2"/>
      <w:sz w:val="21"/>
      <w:szCs w:val="21"/>
    </w:rPr>
  </w:style>
  <w:style w:type="paragraph" w:styleId="33">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34">
    <w:name w:val="正文_2"/>
    <w:qFormat/>
    <w:uiPriority w:val="0"/>
    <w:pPr>
      <w:widowControl w:val="0"/>
      <w:jc w:val="both"/>
    </w:pPr>
    <w:rPr>
      <w:rFonts w:ascii="Calibri" w:hAnsi="Calibri" w:eastAsia="宋体" w:cs="Times New Roman"/>
      <w:kern w:val="2"/>
      <w:sz w:val="21"/>
      <w:szCs w:val="22"/>
      <w:lang w:val="en-US" w:eastAsia="zh-CN" w:bidi="ar-SA"/>
    </w:rPr>
  </w:style>
  <w:style w:type="character" w:customStyle="1" w:styleId="35">
    <w:name w:val="bds_more"/>
    <w:qFormat/>
    <w:uiPriority w:val="0"/>
    <w:rPr>
      <w:rFonts w:hint="eastAsia" w:ascii="宋体" w:hAnsi="宋体" w:eastAsia="宋体" w:cs="宋体"/>
    </w:rPr>
  </w:style>
  <w:style w:type="character" w:customStyle="1" w:styleId="36">
    <w:name w:val="font11"/>
    <w:basedOn w:val="15"/>
    <w:qFormat/>
    <w:uiPriority w:val="0"/>
    <w:rPr>
      <w:rFonts w:hint="eastAsia" w:ascii="宋体" w:hAnsi="宋体" w:eastAsia="宋体" w:cs="宋体"/>
      <w:color w:val="000000"/>
      <w:sz w:val="24"/>
      <w:szCs w:val="24"/>
      <w:u w:val="none"/>
    </w:rPr>
  </w:style>
  <w:style w:type="character" w:customStyle="1" w:styleId="37">
    <w:name w:val="bds_nopic1"/>
    <w:basedOn w:val="15"/>
    <w:qFormat/>
    <w:uiPriority w:val="0"/>
  </w:style>
  <w:style w:type="character" w:customStyle="1" w:styleId="38">
    <w:name w:val="bds_nopic2"/>
    <w:basedOn w:val="15"/>
    <w:qFormat/>
    <w:uiPriority w:val="0"/>
  </w:style>
  <w:style w:type="character" w:customStyle="1" w:styleId="39">
    <w:name w:val="bds_more1"/>
    <w:basedOn w:val="15"/>
    <w:qFormat/>
    <w:uiPriority w:val="0"/>
  </w:style>
  <w:style w:type="character" w:customStyle="1" w:styleId="40">
    <w:name w:val="bds_nopic"/>
    <w:basedOn w:val="15"/>
    <w:qFormat/>
    <w:uiPriority w:val="0"/>
  </w:style>
  <w:style w:type="character" w:customStyle="1" w:styleId="41">
    <w:name w:val="bds_more2"/>
    <w:basedOn w:val="15"/>
    <w:qFormat/>
    <w:uiPriority w:val="0"/>
  </w:style>
  <w:style w:type="paragraph" w:customStyle="1" w:styleId="42">
    <w:name w:val="纯文本1"/>
    <w:basedOn w:val="1"/>
    <w:qFormat/>
    <w:uiPriority w:val="0"/>
    <w:rPr>
      <w:rFonts w:ascii="宋体" w:hAnsi="Courier New"/>
    </w:rPr>
  </w:style>
  <w:style w:type="paragraph" w:customStyle="1" w:styleId="43">
    <w:name w:val="Normal_1"/>
    <w:qFormat/>
    <w:uiPriority w:val="0"/>
    <w:rPr>
      <w:rFonts w:ascii="Calibri" w:hAnsi="Calibri" w:eastAsia="宋体" w:cs="Times New Roman"/>
      <w:sz w:val="24"/>
      <w:szCs w:val="24"/>
      <w:lang w:val="en-US" w:eastAsia="zh-CN" w:bidi="ar-SA"/>
    </w:rPr>
  </w:style>
  <w:style w:type="paragraph" w:customStyle="1" w:styleId="44">
    <w:name w:val="无间隔1"/>
    <w:qFormat/>
    <w:uiPriority w:val="1"/>
    <w:pPr>
      <w:adjustRightInd w:val="0"/>
      <w:snapToGrid w:val="0"/>
    </w:pPr>
    <w:rPr>
      <w:rFonts w:ascii="Tahoma" w:hAnsi="Tahoma" w:eastAsia="微软雅黑" w:cs="Times New Roman"/>
      <w:sz w:val="22"/>
      <w:szCs w:val="22"/>
      <w:lang w:val="en-US" w:eastAsia="zh-CN" w:bidi="ar-SA"/>
    </w:rPr>
  </w:style>
  <w:style w:type="paragraph" w:styleId="45">
    <w:name w:val="No Spacing"/>
    <w:qFormat/>
    <w:uiPriority w:val="1"/>
    <w:pPr>
      <w:adjustRightInd w:val="0"/>
      <w:snapToGrid w:val="0"/>
    </w:pPr>
    <w:rPr>
      <w:rFonts w:ascii="Tahoma" w:hAnsi="Tahoma" w:eastAsia="微软雅黑" w:cs="Times New Roman"/>
      <w:sz w:val="22"/>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15</Pages>
  <Words>2769</Words>
  <Characters>2881</Characters>
  <Lines>29</Lines>
  <Paragraphs>8</Paragraphs>
  <TotalTime>22</TotalTime>
  <ScaleCrop>false</ScaleCrop>
  <LinksUpToDate>false</LinksUpToDate>
  <CharactersWithSpaces>3168</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2016-03-30T00:37:00Z</dcterms:created>
  <dc:creator>User</dc:creator>
  <cp:lastModifiedBy>苏娜</cp:lastModifiedBy>
  <cp:lastPrinted>2021-05-31T11:09:00Z</cp:lastPrinted>
  <dcterms:modified xsi:type="dcterms:W3CDTF">2022-05-30T03:24:09Z</dcterms:modified>
  <dc:title>_</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9087BF636BB5412C9FC970AB6AC0E3C5</vt:lpwstr>
  </property>
</Properties>
</file>