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mc:AlternateContent>
          <mc:Choice Requires="wps">
            <w:drawing>
              <wp:inline distT="0" distB="0" distL="0" distR="0">
                <wp:extent cx="6184900" cy="876300"/>
                <wp:effectExtent l="19050" t="19050" r="19050" b="19050"/>
                <wp:docPr id="4" name="WordArt 1"/>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184900" cy="876300"/>
                        </a:xfrm>
                        <a:prstGeom prst="rect">
                          <a:avLst/>
                        </a:prstGeom>
                      </wps:spPr>
                      <wps:txbx>
                        <w:txbxContent>
                          <w:p>
                            <w:pPr>
                              <w:jc w:val="center"/>
                              <w:rPr>
                                <w:shadow/>
                                <w:color w:val="000000"/>
                                <w:kern w:val="0"/>
                                <w:sz w:val="72"/>
                                <w:szCs w:val="72"/>
                                <w14:shadow w14:blurRad="0" w14:dist="12700" w14:dir="0" w14:sx="100000" w14:sy="100000" w14:kx="0" w14:ky="0" w14:algn="ctr">
                                  <w14:srgbClr w14:val="868686"/>
                                </w14:shadow>
                                <w14:textOutline w14:w="9525" w14:cap="flat" w14:cmpd="sng" w14:algn="ctr">
                                  <w14:solidFill>
                                    <w14:srgbClr w14:val="000000"/>
                                  </w14:solidFill>
                                  <w14:prstDash w14:val="solid"/>
                                  <w14:round/>
                                </w14:textOutline>
                              </w:rPr>
                            </w:pPr>
                            <w:r>
                              <w:rPr>
                                <w:rFonts w:hint="eastAsia"/>
                                <w:shadow/>
                                <w:color w:val="000000"/>
                                <w:sz w:val="84"/>
                                <w:szCs w:val="84"/>
                                <w14:shadow w14:blurRad="0" w14:dist="12700" w14:dir="0" w14:sx="100000" w14:sy="100000" w14:kx="0" w14:ky="0" w14:algn="ctr">
                                  <w14:srgbClr w14:val="868686"/>
                                </w14:shadow>
                                <w14:textOutline w14:w="9525" w14:cap="flat" w14:cmpd="sng" w14:algn="ctr">
                                  <w14:solidFill>
                                    <w14:srgbClr w14:val="000000"/>
                                  </w14:solidFill>
                                  <w14:prstDash w14:val="solid"/>
                                  <w14:round/>
                                </w14:textOutline>
                              </w:rPr>
                              <w:t>乌审旗嘎鲁图通用机场有限公司</w:t>
                            </w:r>
                          </w:p>
                        </w:txbxContent>
                      </wps:txbx>
                      <wps:bodyPr wrap="square" numCol="1" fromWordArt="1">
                        <a:prstTxWarp prst="textPlain">
                          <a:avLst>
                            <a:gd name="adj" fmla="val 50000"/>
                          </a:avLst>
                        </a:prstTxWarp>
                        <a:spAutoFit/>
                      </wps:bodyPr>
                    </wps:wsp>
                  </a:graphicData>
                </a:graphic>
              </wp:inline>
            </w:drawing>
          </mc:Choice>
          <mc:Fallback>
            <w:pict>
              <v:shape id="WordArt 1" o:spid="_x0000_s1026" o:spt="202" type="#_x0000_t202" style="height:69pt;width:487pt;" filled="f" stroked="f" coordsize="21600,21600" o:gfxdata="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Lgap31AAAAAUBAAAPAAAAAAAAAAEAIAAA&#10;ACIAAABkcnMvZG93bnJldi54bWxQSwECFAAUAAAACACHTuJAVC2p3BACAAAnBAAADgAAAAAAAAAB&#10;ACAAAAAjAQAAZHJzL2Uyb0RvYy54bWxQSwUGAAAAAAYABgBZAQAApQUAAAAA&#10;" adj="10800">
                <v:fill on="f" focussize="0,0"/>
                <v:stroke on="f"/>
                <v:imagedata o:title=""/>
                <o:lock v:ext="edit" text="t" aspectratio="f"/>
                <v:textbox style="mso-fit-shape-to-text:t;">
                  <w:txbxContent>
                    <w:p>
                      <w:pPr>
                        <w:jc w:val="center"/>
                        <w:rPr>
                          <w:shadow/>
                          <w:color w:val="000000"/>
                          <w:kern w:val="0"/>
                          <w:sz w:val="72"/>
                          <w:szCs w:val="72"/>
                          <w14:shadow w14:blurRad="0" w14:dist="12700" w14:dir="0" w14:sx="100000" w14:sy="100000" w14:kx="0" w14:ky="0" w14:algn="ctr">
                            <w14:srgbClr w14:val="868686"/>
                          </w14:shadow>
                          <w14:textOutline w14:w="9525" w14:cap="flat" w14:cmpd="sng" w14:algn="ctr">
                            <w14:solidFill>
                              <w14:srgbClr w14:val="000000"/>
                            </w14:solidFill>
                            <w14:prstDash w14:val="solid"/>
                            <w14:round/>
                          </w14:textOutline>
                        </w:rPr>
                      </w:pPr>
                      <w:r>
                        <w:rPr>
                          <w:rFonts w:hint="eastAsia"/>
                          <w:shadow/>
                          <w:color w:val="000000"/>
                          <w:sz w:val="84"/>
                          <w:szCs w:val="84"/>
                          <w14:shadow w14:blurRad="0" w14:dist="12700" w14:dir="0" w14:sx="100000" w14:sy="100000" w14:kx="0" w14:ky="0" w14:algn="ctr">
                            <w14:srgbClr w14:val="868686"/>
                          </w14:shadow>
                          <w14:textOutline w14:w="9525" w14:cap="flat" w14:cmpd="sng" w14:algn="ctr">
                            <w14:solidFill>
                              <w14:srgbClr w14:val="000000"/>
                            </w14:solidFill>
                            <w14:prstDash w14:val="solid"/>
                            <w14:round/>
                          </w14:textOutline>
                        </w:rPr>
                        <w:t>乌审旗嘎鲁图通用机场有限公司</w:t>
                      </w:r>
                    </w:p>
                  </w:txbxContent>
                </v:textbox>
                <w10:wrap type="none"/>
                <w10:anchorlock/>
              </v:shape>
            </w:pict>
          </mc:Fallback>
        </mc:AlternateConten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mc:AlternateContent>
          <mc:Choice Requires="wps">
            <w:drawing>
              <wp:inline distT="0" distB="0" distL="0" distR="0">
                <wp:extent cx="2241550" cy="565150"/>
                <wp:effectExtent l="19050" t="19050" r="28575" b="19050"/>
                <wp:docPr id="3" name="WordArt 2"/>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241550" cy="565150"/>
                        </a:xfrm>
                        <a:prstGeom prst="rect">
                          <a:avLst/>
                        </a:prstGeom>
                      </wps:spPr>
                      <wps:txbx>
                        <w:txbxContent>
                          <w:p>
                            <w:pPr>
                              <w:jc w:val="center"/>
                              <w:rPr>
                                <w:shadow/>
                                <w:color w:val="000000"/>
                                <w:kern w:val="0"/>
                                <w:sz w:val="72"/>
                                <w:szCs w:val="72"/>
                                <w14:shadow w14:blurRad="0" w14:dist="28448" w14:dir="1593903" w14:sx="100000" w14:sy="100000" w14:kx="0" w14:ky="0" w14:algn="ctr">
                                  <w14:srgbClr w14:val="868686"/>
                                </w14:shadow>
                                <w14:textOutline w14:w="9525" w14:cap="flat" w14:cmpd="sng" w14:algn="ctr">
                                  <w14:solidFill>
                                    <w14:srgbClr w14:val="000000"/>
                                  </w14:solidFill>
                                  <w14:prstDash w14:val="solid"/>
                                  <w14:round/>
                                </w14:textOutline>
                              </w:rPr>
                            </w:pPr>
                            <w:r>
                              <w:rPr>
                                <w:rFonts w:hint="eastAsia"/>
                                <w:shadow/>
                                <w:color w:val="000000"/>
                                <w:sz w:val="72"/>
                                <w:szCs w:val="72"/>
                                <w14:shadow w14:blurRad="0" w14:dist="28448" w14:dir="1593903" w14:sx="100000" w14:sy="100000" w14:kx="0" w14:ky="0" w14:algn="ctr">
                                  <w14:srgbClr w14:val="868686"/>
                                </w14:shadow>
                                <w14:textOutline w14:w="9525" w14:cap="flat" w14:cmpd="sng" w14:algn="ctr">
                                  <w14:solidFill>
                                    <w14:srgbClr w14:val="000000"/>
                                  </w14:solidFill>
                                  <w14:prstDash w14:val="solid"/>
                                  <w14:round/>
                                </w14:textOutline>
                              </w:rPr>
                              <w:t>采购文件</w:t>
                            </w:r>
                          </w:p>
                        </w:txbxContent>
                      </wps:txbx>
                      <wps:bodyPr wrap="square" numCol="1" fromWordArt="1">
                        <a:prstTxWarp prst="textPlain">
                          <a:avLst>
                            <a:gd name="adj" fmla="val 50000"/>
                          </a:avLst>
                        </a:prstTxWarp>
                        <a:spAutoFit/>
                      </wps:bodyPr>
                    </wps:wsp>
                  </a:graphicData>
                </a:graphic>
              </wp:inline>
            </w:drawing>
          </mc:Choice>
          <mc:Fallback>
            <w:pict>
              <v:shape id="WordArt 2" o:spid="_x0000_s1026" o:spt="202" type="#_x0000_t202" style="height:44.5pt;width:176.5pt;" filled="f" stroked="f" coordsize="21600,21600" o:gfxdata="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j8YpI9QAAAAEAQAADwAAAAAAAAABACAAAAAi&#10;AAAAZHJzL2Rvd25yZXYueG1sUEsBAhQAFAAAAAgAh07iQMAJM+EOAgAAJwQAAA4AAAAAAAAAAQAg&#10;AAAAIwEAAGRycy9lMm9Eb2MueG1sUEsFBgAAAAAGAAYAWQEAAKMFAAAAAA==&#10;" adj="10800">
                <v:fill on="f" focussize="0,0"/>
                <v:stroke on="f"/>
                <v:imagedata o:title=""/>
                <o:lock v:ext="edit" text="t" aspectratio="f"/>
                <v:textbox style="mso-fit-shape-to-text:t;">
                  <w:txbxContent>
                    <w:p>
                      <w:pPr>
                        <w:jc w:val="center"/>
                        <w:rPr>
                          <w:shadow/>
                          <w:color w:val="000000"/>
                          <w:kern w:val="0"/>
                          <w:sz w:val="72"/>
                          <w:szCs w:val="72"/>
                          <w14:shadow w14:blurRad="0" w14:dist="28448" w14:dir="1593903" w14:sx="100000" w14:sy="100000" w14:kx="0" w14:ky="0" w14:algn="ctr">
                            <w14:srgbClr w14:val="868686"/>
                          </w14:shadow>
                          <w14:textOutline w14:w="9525" w14:cap="flat" w14:cmpd="sng" w14:algn="ctr">
                            <w14:solidFill>
                              <w14:srgbClr w14:val="000000"/>
                            </w14:solidFill>
                            <w14:prstDash w14:val="solid"/>
                            <w14:round/>
                          </w14:textOutline>
                        </w:rPr>
                      </w:pPr>
                      <w:r>
                        <w:rPr>
                          <w:rFonts w:hint="eastAsia"/>
                          <w:shadow/>
                          <w:color w:val="000000"/>
                          <w:sz w:val="72"/>
                          <w:szCs w:val="72"/>
                          <w14:shadow w14:blurRad="0" w14:dist="28448" w14:dir="1593903" w14:sx="100000" w14:sy="100000" w14:kx="0" w14:ky="0" w14:algn="ctr">
                            <w14:srgbClr w14:val="868686"/>
                          </w14:shadow>
                          <w14:textOutline w14:w="9525" w14:cap="flat" w14:cmpd="sng" w14:algn="ctr">
                            <w14:solidFill>
                              <w14:srgbClr w14:val="000000"/>
                            </w14:solidFill>
                            <w14:prstDash w14:val="solid"/>
                            <w14:round/>
                          </w14:textOutline>
                        </w:rPr>
                        <w:t>采购文件</w:t>
                      </w:r>
                    </w:p>
                  </w:txbxContent>
                </v:textbox>
                <w10:wrap type="none"/>
                <w10:anchorlock/>
              </v:shape>
            </w:pict>
          </mc:Fallback>
        </mc:AlternateConten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hint="eastAsia" w:ascii="仿宋_GB2312" w:eastAsia="仿宋_GB2312"/>
          <w:b/>
          <w:sz w:val="48"/>
          <w:szCs w:val="48"/>
          <w:lang w:eastAsia="zh-CN"/>
        </w:rPr>
      </w:pPr>
      <w:r>
        <w:rPr>
          <w:rFonts w:hint="eastAsia" w:ascii="仿宋_GB2312" w:eastAsia="仿宋_GB2312"/>
          <w:b/>
          <w:sz w:val="48"/>
          <w:szCs w:val="48"/>
        </w:rPr>
        <w:t>项目名称：电源车采购项目</w:t>
      </w:r>
      <w:r>
        <w:rPr>
          <w:rFonts w:hint="eastAsia" w:ascii="仿宋_GB2312" w:eastAsia="仿宋_GB2312"/>
          <w:b/>
          <w:sz w:val="48"/>
          <w:szCs w:val="48"/>
          <w:lang w:eastAsia="zh-CN"/>
        </w:rPr>
        <w:t>（</w:t>
      </w:r>
      <w:r>
        <w:rPr>
          <w:rFonts w:hint="eastAsia" w:ascii="仿宋_GB2312" w:eastAsia="仿宋_GB2312"/>
          <w:b/>
          <w:sz w:val="48"/>
          <w:szCs w:val="48"/>
          <w:lang w:val="en-US" w:eastAsia="zh-CN"/>
        </w:rPr>
        <w:t>二次</w:t>
      </w:r>
      <w:r>
        <w:rPr>
          <w:rFonts w:hint="eastAsia" w:ascii="仿宋_GB2312" w:eastAsia="仿宋_GB2312"/>
          <w:b/>
          <w:sz w:val="48"/>
          <w:szCs w:val="48"/>
          <w:lang w:eastAsia="zh-CN"/>
        </w:rPr>
        <w:t>）</w:t>
      </w:r>
    </w:p>
    <w:p>
      <w:pPr>
        <w:jc w:val="center"/>
        <w:rPr>
          <w:rFonts w:ascii="仿宋_GB2312" w:eastAsia="仿宋_GB2312"/>
          <w:b/>
          <w:sz w:val="52"/>
          <w:szCs w:val="52"/>
        </w:rPr>
      </w:pPr>
      <w:r>
        <w:rPr>
          <w:rFonts w:hint="eastAsia" w:ascii="仿宋_GB2312" w:eastAsia="仿宋_GB2312"/>
          <w:b/>
          <w:sz w:val="52"/>
          <w:szCs w:val="52"/>
        </w:rPr>
        <w:t>项目编号：</w:t>
      </w:r>
      <w:r>
        <w:rPr>
          <w:rFonts w:ascii="仿宋_GB2312" w:eastAsia="仿宋_GB2312"/>
          <w:b/>
          <w:sz w:val="52"/>
          <w:szCs w:val="52"/>
        </w:rPr>
        <w:t>CG/</w:t>
      </w:r>
      <w:r>
        <w:rPr>
          <w:rFonts w:hint="eastAsia" w:ascii="仿宋_GB2312" w:eastAsia="仿宋_GB2312"/>
          <w:b/>
          <w:sz w:val="52"/>
          <w:szCs w:val="52"/>
        </w:rPr>
        <w:t>WSQGS</w:t>
      </w:r>
      <w:r>
        <w:rPr>
          <w:rFonts w:ascii="仿宋_GB2312" w:eastAsia="仿宋_GB2312"/>
          <w:b/>
          <w:sz w:val="52"/>
          <w:szCs w:val="52"/>
        </w:rPr>
        <w:t>-</w:t>
      </w:r>
      <w:r>
        <w:rPr>
          <w:rFonts w:hint="eastAsia" w:ascii="仿宋_GB2312" w:eastAsia="仿宋_GB2312"/>
          <w:b/>
          <w:sz w:val="52"/>
          <w:szCs w:val="52"/>
        </w:rPr>
        <w:t>22</w:t>
      </w:r>
      <w:r>
        <w:rPr>
          <w:rFonts w:ascii="仿宋_GB2312" w:eastAsia="仿宋_GB2312"/>
          <w:b/>
          <w:sz w:val="52"/>
          <w:szCs w:val="52"/>
        </w:rPr>
        <w:t>-0</w:t>
      </w:r>
      <w:r>
        <w:rPr>
          <w:rFonts w:hint="eastAsia" w:ascii="仿宋_GB2312" w:eastAsia="仿宋_GB2312"/>
          <w:b/>
          <w:sz w:val="52"/>
          <w:szCs w:val="52"/>
        </w:rPr>
        <w:t>06</w:t>
      </w:r>
      <w:r>
        <w:rPr>
          <w:rFonts w:ascii="仿宋_GB2312" w:eastAsia="仿宋_GB2312"/>
          <w:b/>
          <w:sz w:val="52"/>
          <w:szCs w:val="52"/>
        </w:rPr>
        <w:t>-</w:t>
      </w:r>
      <w:r>
        <w:rPr>
          <w:rFonts w:hint="eastAsia" w:ascii="仿宋_GB2312" w:eastAsia="仿宋_GB2312"/>
          <w:b/>
          <w:sz w:val="52"/>
          <w:szCs w:val="52"/>
        </w:rPr>
        <w:t>N</w:t>
      </w:r>
    </w:p>
    <w:p>
      <w:pPr>
        <w:jc w:val="center"/>
        <w:rPr>
          <w:rFonts w:ascii="仿宋_GB2312" w:eastAsia="仿宋_GB2312"/>
          <w:b/>
          <w:sz w:val="52"/>
          <w:szCs w:val="52"/>
        </w:rPr>
      </w:pPr>
    </w:p>
    <w:p>
      <w:pPr>
        <w:jc w:val="both"/>
        <w:rPr>
          <w:b/>
          <w:sz w:val="52"/>
          <w:szCs w:val="52"/>
        </w:rPr>
      </w:pPr>
    </w:p>
    <w:p>
      <w:pPr>
        <w:widowControl/>
        <w:jc w:val="center"/>
        <w:rPr>
          <w:rFonts w:ascii="仿宋" w:hAnsi="仿宋" w:eastAsia="仿宋"/>
          <w:sz w:val="48"/>
          <w:szCs w:val="48"/>
        </w:rPr>
      </w:pPr>
    </w:p>
    <w:p>
      <w:pPr>
        <w:widowControl/>
        <w:jc w:val="center"/>
        <w:rPr>
          <w:rFonts w:ascii="仿宋" w:hAnsi="仿宋" w:eastAsia="仿宋"/>
          <w:sz w:val="48"/>
          <w:szCs w:val="48"/>
        </w:rPr>
        <w:sectPr>
          <w:headerReference r:id="rId4" w:type="first"/>
          <w:footerReference r:id="rId5" w:type="first"/>
          <w:headerReference r:id="rId3"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cols w:space="720" w:num="1"/>
          <w:docGrid w:linePitch="360" w:charSpace="0"/>
        </w:sect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hAnsi="宋体"/>
          <w:color w:val="FF0000"/>
          <w:sz w:val="30"/>
          <w:szCs w:val="30"/>
        </w:rPr>
      </w:pPr>
    </w:p>
    <w:p>
      <w:pPr>
        <w:pStyle w:val="13"/>
        <w:tabs>
          <w:tab w:val="right" w:leader="dot" w:pos="9742"/>
        </w:tabs>
        <w:rPr>
          <w:rFonts w:ascii="宋体" w:hAnsi="宋体"/>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fldChar w:fldCharType="begin"/>
      </w:r>
      <w:r>
        <w:instrText xml:space="preserve"> HYPERLINK \l "_Toc425349044" </w:instrText>
      </w:r>
      <w:r>
        <w:fldChar w:fldCharType="separate"/>
      </w:r>
      <w:r>
        <w:rPr>
          <w:rFonts w:hint="eastAsia" w:ascii="宋体" w:hAnsi="宋体"/>
          <w:sz w:val="30"/>
          <w:szCs w:val="30"/>
        </w:rPr>
        <w:t>第一章、</w:t>
      </w:r>
      <w:r>
        <w:rPr>
          <w:rStyle w:val="21"/>
          <w:rFonts w:hint="eastAsia" w:ascii="宋体" w:hAnsi="宋体"/>
          <w:sz w:val="30"/>
          <w:szCs w:val="30"/>
        </w:rPr>
        <w:t>竞争性磋商公告</w:t>
      </w:r>
      <w:r>
        <w:rPr>
          <w:rStyle w:val="21"/>
          <w:rFonts w:hint="eastAsia" w:ascii="宋体" w:hAnsi="宋体"/>
          <w:sz w:val="30"/>
          <w:szCs w:val="30"/>
        </w:rPr>
        <w:tab/>
      </w:r>
      <w:r>
        <w:rPr>
          <w:rFonts w:hint="eastAsia" w:ascii="宋体" w:hAnsi="宋体"/>
          <w:sz w:val="30"/>
          <w:szCs w:val="30"/>
        </w:rPr>
        <w:fldChar w:fldCharType="begin"/>
      </w:r>
      <w:r>
        <w:rPr>
          <w:rStyle w:val="21"/>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21"/>
          <w:rFonts w:hint="eastAsia" w:ascii="宋体" w:hAnsi="宋体"/>
          <w:sz w:val="30"/>
          <w:szCs w:val="30"/>
        </w:rPr>
        <w:t>1</w:t>
      </w:r>
      <w:r>
        <w:rPr>
          <w:rFonts w:hint="eastAsia" w:ascii="宋体" w:hAnsi="宋体"/>
          <w:sz w:val="30"/>
          <w:szCs w:val="30"/>
        </w:rPr>
        <w:fldChar w:fldCharType="end"/>
      </w:r>
      <w:r>
        <w:rPr>
          <w:rFonts w:hint="eastAsia" w:ascii="宋体" w:hAnsi="宋体"/>
          <w:sz w:val="30"/>
          <w:szCs w:val="30"/>
        </w:rPr>
        <w:fldChar w:fldCharType="end"/>
      </w:r>
    </w:p>
    <w:p>
      <w:pPr>
        <w:pStyle w:val="14"/>
        <w:tabs>
          <w:tab w:val="right" w:leader="dot" w:pos="9742"/>
        </w:tabs>
        <w:rPr>
          <w:rStyle w:val="21"/>
          <w:rFonts w:ascii="宋体" w:hAnsi="宋体"/>
          <w:sz w:val="30"/>
          <w:szCs w:val="30"/>
        </w:rPr>
      </w:pPr>
      <w:r>
        <w:rPr>
          <w:rStyle w:val="21"/>
          <w:rFonts w:hint="eastAsia" w:ascii="宋体" w:hAnsi="宋体"/>
          <w:sz w:val="30"/>
          <w:szCs w:val="30"/>
        </w:rPr>
        <w:t>一、</w:t>
      </w:r>
      <w:r>
        <w:fldChar w:fldCharType="begin"/>
      </w:r>
      <w:r>
        <w:instrText xml:space="preserve"> HYPERLINK \l "_Toc425349045" </w:instrText>
      </w:r>
      <w:r>
        <w:fldChar w:fldCharType="separate"/>
      </w:r>
      <w:r>
        <w:rPr>
          <w:rStyle w:val="21"/>
          <w:rFonts w:hint="eastAsia" w:ascii="宋体" w:hAnsi="宋体"/>
          <w:sz w:val="30"/>
          <w:szCs w:val="30"/>
        </w:rPr>
        <w:t>项目概况</w:t>
      </w:r>
      <w:r>
        <w:rPr>
          <w:rStyle w:val="21"/>
          <w:rFonts w:hint="eastAsia" w:ascii="宋体" w:hAnsi="宋体"/>
          <w:sz w:val="30"/>
          <w:szCs w:val="30"/>
        </w:rPr>
        <w:fldChar w:fldCharType="end"/>
      </w:r>
      <w:r>
        <w:rPr>
          <w:rFonts w:ascii="Arial" w:hAnsi="Arial" w:cs="Arial"/>
          <w:sz w:val="30"/>
          <w:szCs w:val="30"/>
        </w:rPr>
        <w:t>………………………………………………………………</w:t>
      </w:r>
      <w:r>
        <w:rPr>
          <w:rFonts w:hint="eastAsia" w:ascii="Arial" w:hAnsi="Arial" w:cs="Arial"/>
          <w:sz w:val="30"/>
          <w:szCs w:val="30"/>
        </w:rPr>
        <w:t>..</w:t>
      </w:r>
      <w:r>
        <w:rPr>
          <w:rFonts w:hint="eastAsia" w:ascii="Arial" w:hAnsi="Arial" w:cs="Arial"/>
          <w:sz w:val="28"/>
          <w:szCs w:val="28"/>
        </w:rPr>
        <w:t>2</w:t>
      </w:r>
    </w:p>
    <w:p>
      <w:pPr>
        <w:pStyle w:val="14"/>
        <w:tabs>
          <w:tab w:val="right" w:leader="dot" w:pos="9742"/>
        </w:tabs>
        <w:rPr>
          <w:rFonts w:ascii="宋体" w:hAnsi="宋体"/>
          <w:sz w:val="30"/>
          <w:szCs w:val="30"/>
        </w:rPr>
      </w:pPr>
      <w:r>
        <w:fldChar w:fldCharType="begin"/>
      </w:r>
      <w:r>
        <w:instrText xml:space="preserve"> HYPERLINK \l "_Toc425349048" </w:instrText>
      </w:r>
      <w:r>
        <w:fldChar w:fldCharType="separate"/>
      </w:r>
      <w:r>
        <w:rPr>
          <w:rStyle w:val="21"/>
          <w:rFonts w:hint="eastAsia" w:ascii="宋体" w:hAnsi="宋体"/>
          <w:sz w:val="30"/>
          <w:szCs w:val="30"/>
        </w:rPr>
        <w:t>二、响应文件截止（开标）时间及地点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rPr>
        <w:t>2</w:t>
      </w:r>
    </w:p>
    <w:p>
      <w:pPr>
        <w:pStyle w:val="14"/>
        <w:tabs>
          <w:tab w:val="right" w:leader="dot" w:pos="9742"/>
        </w:tabs>
        <w:rPr>
          <w:rFonts w:ascii="宋体" w:hAnsi="宋体"/>
          <w:sz w:val="30"/>
          <w:szCs w:val="30"/>
        </w:rPr>
      </w:pPr>
      <w:r>
        <w:fldChar w:fldCharType="begin"/>
      </w:r>
      <w:r>
        <w:instrText xml:space="preserve"> HYPERLINK \l "_Toc425349049" </w:instrText>
      </w:r>
      <w:r>
        <w:fldChar w:fldCharType="separate"/>
      </w:r>
      <w:r>
        <w:rPr>
          <w:rStyle w:val="21"/>
          <w:rFonts w:hint="eastAsia" w:ascii="宋体" w:hAnsi="宋体"/>
          <w:sz w:val="30"/>
          <w:szCs w:val="30"/>
        </w:rPr>
        <w:t>三、联系方式</w:t>
      </w:r>
      <w:r>
        <w:rPr>
          <w:rFonts w:ascii="宋体" w:hAnsi="宋体"/>
          <w:sz w:val="30"/>
          <w:szCs w:val="30"/>
        </w:rPr>
        <w:tab/>
      </w:r>
      <w:r>
        <w:rPr>
          <w:rFonts w:hint="eastAsia" w:ascii="宋体" w:hAnsi="宋体"/>
          <w:sz w:val="30"/>
          <w:szCs w:val="30"/>
        </w:rPr>
        <w:t>2</w:t>
      </w:r>
      <w:r>
        <w:rPr>
          <w:rFonts w:hint="eastAsia" w:ascii="宋体" w:hAnsi="宋体"/>
          <w:sz w:val="30"/>
          <w:szCs w:val="30"/>
        </w:rPr>
        <w:fldChar w:fldCharType="end"/>
      </w:r>
    </w:p>
    <w:p>
      <w:pPr>
        <w:pStyle w:val="13"/>
        <w:tabs>
          <w:tab w:val="right" w:leader="dot" w:pos="9742"/>
        </w:tabs>
        <w:rPr>
          <w:rFonts w:ascii="宋体" w:hAnsi="宋体"/>
          <w:sz w:val="30"/>
          <w:szCs w:val="30"/>
        </w:rPr>
      </w:pPr>
      <w:r>
        <w:fldChar w:fldCharType="begin"/>
      </w:r>
      <w:r>
        <w:instrText xml:space="preserve"> HYPERLINK \l "_Toc425349053" </w:instrText>
      </w:r>
      <w:r>
        <w:fldChar w:fldCharType="separate"/>
      </w:r>
      <w:r>
        <w:rPr>
          <w:rStyle w:val="21"/>
          <w:rFonts w:hint="eastAsia" w:ascii="宋体" w:hAnsi="宋体"/>
          <w:sz w:val="30"/>
          <w:szCs w:val="30"/>
        </w:rPr>
        <w:t>第二章、 供应商须知</w:t>
      </w:r>
      <w:r>
        <w:rPr>
          <w:rFonts w:ascii="宋体" w:hAnsi="宋体"/>
          <w:sz w:val="30"/>
          <w:szCs w:val="30"/>
        </w:rPr>
        <w:tab/>
      </w:r>
      <w:r>
        <w:rPr>
          <w:rFonts w:hint="eastAsia" w:ascii="宋体" w:hAnsi="宋体"/>
          <w:sz w:val="30"/>
          <w:szCs w:val="30"/>
        </w:rPr>
        <w:t>3</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"_Toc425349054" </w:instrText>
      </w:r>
      <w:r>
        <w:fldChar w:fldCharType="separate"/>
      </w:r>
      <w:r>
        <w:rPr>
          <w:rStyle w:val="21"/>
          <w:rFonts w:hint="eastAsia" w:ascii="宋体" w:hAnsi="宋体"/>
          <w:sz w:val="30"/>
          <w:szCs w:val="30"/>
        </w:rPr>
        <w:t>一、供应商资格要求</w:t>
      </w:r>
      <w:r>
        <w:rPr>
          <w:rFonts w:ascii="宋体" w:hAnsi="宋体"/>
          <w:sz w:val="30"/>
          <w:szCs w:val="30"/>
        </w:rPr>
        <w:tab/>
      </w:r>
      <w:r>
        <w:rPr>
          <w:rFonts w:hint="eastAsia" w:ascii="宋体" w:hAnsi="宋体"/>
          <w:sz w:val="30"/>
          <w:szCs w:val="30"/>
        </w:rPr>
        <w:t>3</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"_Toc425349055" </w:instrText>
      </w:r>
      <w:r>
        <w:fldChar w:fldCharType="separate"/>
      </w:r>
      <w:r>
        <w:rPr>
          <w:rStyle w:val="21"/>
          <w:rFonts w:hint="eastAsia" w:ascii="宋体" w:hAnsi="宋体"/>
          <w:sz w:val="30"/>
          <w:szCs w:val="30"/>
        </w:rPr>
        <w:t>二、响应文件的构成</w:t>
      </w:r>
      <w:r>
        <w:rPr>
          <w:rFonts w:ascii="宋体" w:hAnsi="宋体"/>
          <w:sz w:val="30"/>
          <w:szCs w:val="30"/>
        </w:rPr>
        <w:tab/>
      </w:r>
      <w:r>
        <w:rPr>
          <w:rFonts w:hint="eastAsia" w:ascii="宋体" w:hAnsi="宋体"/>
          <w:sz w:val="30"/>
          <w:szCs w:val="30"/>
        </w:rPr>
        <w:t>4</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"_Toc425349056" </w:instrText>
      </w:r>
      <w:r>
        <w:fldChar w:fldCharType="separate"/>
      </w:r>
      <w:r>
        <w:rPr>
          <w:rStyle w:val="21"/>
          <w:rFonts w:hint="eastAsia" w:ascii="宋体" w:hAnsi="宋体"/>
          <w:sz w:val="30"/>
          <w:szCs w:val="30"/>
        </w:rPr>
        <w:t>三、评标与中标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rPr>
        <w:t>4</w:t>
      </w:r>
    </w:p>
    <w:p>
      <w:pPr>
        <w:pStyle w:val="13"/>
        <w:tabs>
          <w:tab w:val="right" w:leader="dot" w:pos="9742"/>
        </w:tabs>
        <w:rPr>
          <w:rFonts w:ascii="宋体" w:hAnsi="宋体"/>
          <w:sz w:val="30"/>
          <w:szCs w:val="30"/>
        </w:rPr>
      </w:pPr>
      <w:r>
        <w:fldChar w:fldCharType="begin"/>
      </w:r>
      <w:r>
        <w:instrText xml:space="preserve"> HYPERLINK \l "_Toc425349050" </w:instrText>
      </w:r>
      <w:r>
        <w:fldChar w:fldCharType="separate"/>
      </w:r>
      <w:r>
        <w:rPr>
          <w:rStyle w:val="21"/>
          <w:rFonts w:hint="eastAsia" w:ascii="宋体" w:hAnsi="宋体"/>
          <w:sz w:val="30"/>
          <w:szCs w:val="30"/>
        </w:rPr>
        <w:t>第三章、采购要求</w:t>
      </w:r>
      <w:r>
        <w:rPr>
          <w:rFonts w:ascii="宋体" w:hAnsi="宋体"/>
          <w:sz w:val="30"/>
          <w:szCs w:val="30"/>
        </w:rPr>
        <w:tab/>
      </w:r>
      <w:r>
        <w:rPr>
          <w:rFonts w:hint="eastAsia" w:ascii="宋体" w:hAnsi="宋体"/>
          <w:sz w:val="30"/>
          <w:szCs w:val="30"/>
        </w:rPr>
        <w:t>6</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"_Toc425349051" </w:instrText>
      </w:r>
      <w:r>
        <w:fldChar w:fldCharType="separate"/>
      </w:r>
      <w:r>
        <w:rPr>
          <w:rStyle w:val="21"/>
          <w:rFonts w:hint="eastAsia" w:ascii="宋体" w:hAnsi="宋体"/>
          <w:sz w:val="30"/>
          <w:szCs w:val="30"/>
        </w:rPr>
        <w:t>一、项目说明</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14"/>
        <w:tabs>
          <w:tab w:val="right" w:leader="dot" w:pos="9742"/>
        </w:tabs>
      </w:pPr>
      <w:r>
        <w:fldChar w:fldCharType="begin"/>
      </w:r>
      <w:r>
        <w:instrText xml:space="preserve"> HYPERLINK \l "_Toc425349052" </w:instrText>
      </w:r>
      <w:r>
        <w:fldChar w:fldCharType="separate"/>
      </w:r>
      <w:r>
        <w:rPr>
          <w:rStyle w:val="21"/>
          <w:rFonts w:hint="eastAsia" w:ascii="宋体" w:hAnsi="宋体"/>
          <w:sz w:val="30"/>
          <w:szCs w:val="30"/>
        </w:rPr>
        <w:t>二、采购产品实现功能及要求</w:t>
      </w:r>
      <w:r>
        <w:rPr>
          <w:rStyle w:val="21"/>
          <w:rFonts w:hint="eastAsia" w:ascii="宋体" w:hAnsi="宋体"/>
          <w:sz w:val="30"/>
          <w:szCs w:val="30"/>
        </w:rPr>
        <w:fldChar w:fldCharType="end"/>
      </w:r>
      <w:r>
        <w:rPr>
          <w:rFonts w:hint="eastAsia" w:ascii="宋体" w:hAnsi="宋体"/>
          <w:sz w:val="30"/>
          <w:szCs w:val="30"/>
        </w:rPr>
        <w:t>2</w:t>
      </w:r>
    </w:p>
    <w:p>
      <w:pPr>
        <w:pStyle w:val="13"/>
        <w:tabs>
          <w:tab w:val="right" w:leader="dot" w:pos="9742"/>
        </w:tabs>
        <w:rPr>
          <w:rFonts w:ascii="宋体" w:hAnsi="宋体"/>
          <w:sz w:val="30"/>
          <w:szCs w:val="30"/>
        </w:rPr>
      </w:pPr>
      <w:r>
        <w:fldChar w:fldCharType="begin"/>
      </w:r>
      <w:r>
        <w:instrText xml:space="preserve"> HYPERLINK \l "_Toc425349057" </w:instrText>
      </w:r>
      <w:r>
        <w:fldChar w:fldCharType="separate"/>
      </w:r>
      <w:r>
        <w:rPr>
          <w:rStyle w:val="21"/>
          <w:rFonts w:hint="eastAsia" w:ascii="宋体" w:hAnsi="宋体"/>
          <w:sz w:val="30"/>
          <w:szCs w:val="30"/>
        </w:rPr>
        <w:t>第四章、响应文件格式与要求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14"/>
        <w:tabs>
          <w:tab w:val="right" w:leader="dot" w:pos="9742"/>
        </w:tabs>
        <w:rPr>
          <w:rFonts w:hint="eastAsia" w:ascii="宋体" w:hAnsi="宋体" w:eastAsia="宋体"/>
          <w:sz w:val="30"/>
          <w:szCs w:val="30"/>
          <w:lang w:val="en-US" w:eastAsia="zh-CN"/>
        </w:rPr>
      </w:pPr>
      <w:r>
        <w:fldChar w:fldCharType="begin"/>
      </w:r>
      <w:r>
        <w:instrText xml:space="preserve"> HYPERLINK \l "_Toc425349058" </w:instrText>
      </w:r>
      <w:r>
        <w:fldChar w:fldCharType="separate"/>
      </w:r>
      <w:r>
        <w:rPr>
          <w:rStyle w:val="21"/>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4</w:t>
      </w:r>
    </w:p>
    <w:p>
      <w:pPr>
        <w:pStyle w:val="14"/>
        <w:tabs>
          <w:tab w:val="right" w:leader="dot" w:pos="9742"/>
        </w:tabs>
        <w:rPr>
          <w:rFonts w:hint="eastAsia" w:ascii="宋体" w:hAnsi="宋体" w:eastAsia="宋体"/>
          <w:sz w:val="30"/>
          <w:szCs w:val="30"/>
          <w:lang w:val="en-US" w:eastAsia="zh-CN"/>
        </w:rPr>
      </w:pPr>
      <w:r>
        <w:fldChar w:fldCharType="begin"/>
      </w:r>
      <w:r>
        <w:instrText xml:space="preserve"> HYPERLINK \l "_Toc425349059" </w:instrText>
      </w:r>
      <w:r>
        <w:fldChar w:fldCharType="separate"/>
      </w:r>
      <w:r>
        <w:rPr>
          <w:rStyle w:val="21"/>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5</w:t>
      </w:r>
    </w:p>
    <w:p>
      <w:pPr>
        <w:pStyle w:val="14"/>
        <w:tabs>
          <w:tab w:val="right" w:leader="dot" w:pos="9742"/>
        </w:tabs>
        <w:rPr>
          <w:rFonts w:hint="eastAsia" w:ascii="宋体" w:hAnsi="宋体" w:eastAsia="宋体"/>
          <w:sz w:val="30"/>
          <w:szCs w:val="30"/>
          <w:lang w:val="en-US" w:eastAsia="zh-CN"/>
        </w:rPr>
      </w:pPr>
      <w:r>
        <w:fldChar w:fldCharType="begin"/>
      </w:r>
      <w:r>
        <w:instrText xml:space="preserve"> HYPERLINK \l "_Toc425349060" </w:instrText>
      </w:r>
      <w:r>
        <w:fldChar w:fldCharType="separate"/>
      </w:r>
      <w:r>
        <w:rPr>
          <w:rStyle w:val="21"/>
          <w:rFonts w:hint="eastAsia" w:ascii="宋体" w:hAnsi="宋体"/>
          <w:sz w:val="30"/>
          <w:szCs w:val="30"/>
        </w:rPr>
        <w:t>格式三：</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6</w:t>
      </w:r>
    </w:p>
    <w:p>
      <w:pPr>
        <w:pStyle w:val="14"/>
        <w:tabs>
          <w:tab w:val="right" w:leader="dot" w:pos="9742"/>
        </w:tabs>
        <w:rPr>
          <w:rFonts w:hint="eastAsia" w:ascii="宋体" w:hAnsi="宋体" w:eastAsia="宋体"/>
          <w:sz w:val="30"/>
          <w:szCs w:val="30"/>
          <w:lang w:val="en-US" w:eastAsia="zh-CN"/>
        </w:rPr>
      </w:pPr>
      <w:r>
        <w:fldChar w:fldCharType="begin"/>
      </w:r>
      <w:r>
        <w:instrText xml:space="preserve"> HYPERLINK \l "_Toc425349061" </w:instrText>
      </w:r>
      <w:r>
        <w:fldChar w:fldCharType="separate"/>
      </w:r>
      <w:r>
        <w:rPr>
          <w:rStyle w:val="21"/>
          <w:rFonts w:hint="eastAsia" w:ascii="宋体" w:hAnsi="宋体"/>
          <w:sz w:val="30"/>
          <w:szCs w:val="30"/>
        </w:rPr>
        <w:t>格式四：</w:t>
      </w:r>
      <w:r>
        <w:rPr>
          <w:rFonts w:ascii="宋体" w:hAnsi="宋体"/>
          <w:sz w:val="30"/>
          <w:szCs w:val="30"/>
        </w:rPr>
        <w:tab/>
      </w:r>
      <w:r>
        <w:rPr>
          <w:rFonts w:ascii="宋体" w:hAnsi="宋体"/>
          <w:sz w:val="30"/>
          <w:szCs w:val="30"/>
        </w:rPr>
        <w:fldChar w:fldCharType="end"/>
      </w:r>
      <w:r>
        <w:rPr>
          <w:rFonts w:hint="eastAsia" w:ascii="宋体" w:hAnsi="宋体"/>
          <w:sz w:val="30"/>
          <w:szCs w:val="30"/>
        </w:rPr>
        <w:t>1</w:t>
      </w:r>
      <w:r>
        <w:rPr>
          <w:rFonts w:hint="eastAsia" w:ascii="宋体" w:hAnsi="宋体"/>
          <w:sz w:val="30"/>
          <w:szCs w:val="30"/>
          <w:lang w:val="en-US" w:eastAsia="zh-CN"/>
        </w:rPr>
        <w:t>7</w:t>
      </w:r>
    </w:p>
    <w:p>
      <w:pPr>
        <w:pStyle w:val="14"/>
        <w:tabs>
          <w:tab w:val="right" w:leader="dot" w:pos="9742"/>
        </w:tabs>
        <w:rPr>
          <w:rFonts w:hint="default" w:ascii="宋体" w:hAnsi="宋体" w:eastAsia="宋体"/>
          <w:sz w:val="30"/>
          <w:szCs w:val="30"/>
          <w:lang w:val="en-US" w:eastAsia="zh-CN"/>
        </w:rPr>
      </w:pPr>
      <w:r>
        <w:fldChar w:fldCharType="begin"/>
      </w:r>
      <w:r>
        <w:instrText xml:space="preserve"> HYPERLINK \l "_Toc425349062" </w:instrText>
      </w:r>
      <w:r>
        <w:fldChar w:fldCharType="separate"/>
      </w:r>
      <w:r>
        <w:rPr>
          <w:rStyle w:val="21"/>
          <w:rFonts w:hint="eastAsia" w:ascii="宋体" w:hAnsi="宋体"/>
          <w:sz w:val="30"/>
          <w:szCs w:val="30"/>
        </w:rPr>
        <w:t>格式五：</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18</w:t>
      </w:r>
    </w:p>
    <w:p>
      <w:pPr>
        <w:widowControl/>
        <w:spacing w:line="360" w:lineRule="auto"/>
        <w:jc w:val="center"/>
        <w:rPr>
          <w:rFonts w:ascii="宋体" w:hAnsi="宋体"/>
          <w:sz w:val="30"/>
          <w:szCs w:val="30"/>
        </w:rPr>
      </w:pPr>
      <w:r>
        <w:rPr>
          <w:rFonts w:ascii="宋体" w:hAnsi="宋体"/>
          <w:sz w:val="30"/>
          <w:szCs w:val="30"/>
        </w:rPr>
        <w:fldChar w:fldCharType="end"/>
      </w:r>
      <w:bookmarkStart w:id="0" w:name="_Toc425349044"/>
    </w:p>
    <w:bookmarkEnd w:id="0"/>
    <w:p/>
    <w:p>
      <w:pPr>
        <w:pStyle w:val="3"/>
        <w:spacing w:line="560" w:lineRule="exact"/>
        <w:jc w:val="both"/>
      </w:pPr>
    </w:p>
    <w:p/>
    <w:p>
      <w:pPr>
        <w:pStyle w:val="7"/>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jc w:val="both"/>
      </w:pPr>
    </w:p>
    <w:p/>
    <w:p>
      <w:pPr>
        <w:pStyle w:val="7"/>
      </w:pPr>
    </w:p>
    <w:p>
      <w:pPr>
        <w:pStyle w:val="3"/>
        <w:spacing w:line="560" w:lineRule="exact"/>
        <w:jc w:val="both"/>
        <w:sectPr>
          <w:headerReference r:id="rId6" w:type="default"/>
          <w:footerReference r:id="rId7"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start="1"/>
          <w:cols w:space="720" w:num="1"/>
          <w:docGrid w:linePitch="360" w:charSpace="0"/>
        </w:sectPr>
      </w:pPr>
    </w:p>
    <w:p>
      <w:pPr>
        <w:pStyle w:val="7"/>
        <w:rPr>
          <w:rFonts w:ascii="仿宋" w:hAnsi="仿宋" w:eastAsia="仿宋" w:cs="仿宋"/>
          <w:b/>
          <w:bCs/>
          <w:sz w:val="44"/>
          <w:szCs w:val="44"/>
        </w:rPr>
      </w:pPr>
    </w:p>
    <w:p>
      <w:pPr>
        <w:pStyle w:val="3"/>
        <w:numPr>
          <w:ilvl w:val="0"/>
          <w:numId w:val="1"/>
        </w:numPr>
        <w:spacing w:line="560" w:lineRule="exact"/>
        <w:ind w:firstLine="2209" w:firstLineChars="500"/>
        <w:jc w:val="left"/>
      </w:pPr>
      <w:r>
        <w:rPr>
          <w:rFonts w:hint="eastAsia"/>
        </w:rPr>
        <w:t>竞争性磋商公告</w:t>
      </w:r>
    </w:p>
    <w:p/>
    <w:p>
      <w:pPr>
        <w:spacing w:line="560" w:lineRule="exact"/>
        <w:ind w:firstLine="560" w:firstLineChars="200"/>
        <w:rPr>
          <w:rFonts w:ascii="仿宋_GB2312" w:eastAsia="仿宋_GB2312"/>
          <w:sz w:val="28"/>
          <w:szCs w:val="28"/>
        </w:rPr>
      </w:pPr>
      <w:r>
        <w:rPr>
          <w:rFonts w:hint="eastAsia" w:ascii="仿宋_GB2312" w:hAnsi="仿宋_GB2312" w:eastAsia="仿宋_GB2312" w:cs="仿宋_GB2312"/>
          <w:color w:val="000000"/>
          <w:sz w:val="28"/>
          <w:szCs w:val="28"/>
        </w:rPr>
        <w:t>乌审旗嘎鲁图通用机场有限公司拟采用竞争性磋商的方式为公司采购</w:t>
      </w:r>
      <w:r>
        <w:rPr>
          <w:rFonts w:hint="eastAsia" w:ascii="仿宋_GB2312" w:eastAsia="仿宋_GB2312"/>
          <w:sz w:val="28"/>
          <w:szCs w:val="28"/>
        </w:rPr>
        <w:t>电源车</w:t>
      </w:r>
      <w:r>
        <w:rPr>
          <w:rFonts w:hint="eastAsia" w:ascii="仿宋_GB2312" w:hAnsi="仿宋_GB2312" w:eastAsia="仿宋_GB2312" w:cs="仿宋_GB2312"/>
          <w:color w:val="000000"/>
          <w:sz w:val="28"/>
          <w:szCs w:val="28"/>
        </w:rPr>
        <w:t>，现邀请符合条件的制造商或供应商前来参与此次采购活动。</w:t>
      </w:r>
    </w:p>
    <w:p>
      <w:pPr>
        <w:pStyle w:val="4"/>
        <w:spacing w:line="560" w:lineRule="exact"/>
      </w:pPr>
      <w:bookmarkStart w:id="1" w:name="_Toc399769525"/>
      <w:r>
        <w:rPr>
          <w:rFonts w:hint="eastAsia"/>
        </w:rPr>
        <w:t>一、项目概况</w:t>
      </w:r>
      <w:bookmarkEnd w:id="1"/>
    </w:p>
    <w:p>
      <w:pPr>
        <w:spacing w:line="56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1、项目名称：电源车采购项目</w:t>
      </w:r>
      <w:r>
        <w:rPr>
          <w:rFonts w:hint="eastAsia" w:ascii="仿宋_GB2312" w:eastAsia="仿宋_GB2312"/>
          <w:sz w:val="28"/>
          <w:szCs w:val="28"/>
          <w:lang w:eastAsia="zh-CN"/>
        </w:rPr>
        <w:t>（</w:t>
      </w:r>
      <w:r>
        <w:rPr>
          <w:rFonts w:hint="eastAsia" w:ascii="仿宋_GB2312" w:eastAsia="仿宋_GB2312"/>
          <w:sz w:val="28"/>
          <w:szCs w:val="28"/>
          <w:lang w:val="en-US" w:eastAsia="zh-CN"/>
        </w:rPr>
        <w:t>二次</w:t>
      </w:r>
      <w:r>
        <w:rPr>
          <w:rFonts w:hint="eastAsia" w:ascii="仿宋_GB2312" w:eastAsia="仿宋_GB2312"/>
          <w:sz w:val="28"/>
          <w:szCs w:val="28"/>
          <w:lang w:eastAsia="zh-CN"/>
        </w:rPr>
        <w:t>）</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2、项目编号：</w:t>
      </w:r>
      <w:r>
        <w:rPr>
          <w:rFonts w:ascii="仿宋_GB2312" w:hAnsi="宋体" w:eastAsia="仿宋_GB2312"/>
          <w:sz w:val="28"/>
          <w:szCs w:val="28"/>
        </w:rPr>
        <w:t>CG/</w:t>
      </w:r>
      <w:r>
        <w:rPr>
          <w:rFonts w:hint="eastAsia" w:ascii="仿宋_GB2312" w:hAnsi="宋体" w:eastAsia="仿宋_GB2312"/>
          <w:sz w:val="28"/>
          <w:szCs w:val="28"/>
        </w:rPr>
        <w:t>WSQGS</w:t>
      </w:r>
      <w:r>
        <w:rPr>
          <w:rFonts w:ascii="仿宋_GB2312" w:hAnsi="宋体" w:eastAsia="仿宋_GB2312"/>
          <w:sz w:val="28"/>
          <w:szCs w:val="28"/>
        </w:rPr>
        <w:t>-</w:t>
      </w:r>
      <w:r>
        <w:rPr>
          <w:rFonts w:hint="eastAsia" w:ascii="仿宋_GB2312" w:hAnsi="宋体" w:eastAsia="仿宋_GB2312"/>
          <w:sz w:val="28"/>
          <w:szCs w:val="28"/>
        </w:rPr>
        <w:t>22</w:t>
      </w:r>
      <w:r>
        <w:rPr>
          <w:rFonts w:ascii="仿宋_GB2312" w:hAnsi="宋体" w:eastAsia="仿宋_GB2312"/>
          <w:sz w:val="28"/>
          <w:szCs w:val="28"/>
        </w:rPr>
        <w:t>-00</w:t>
      </w:r>
      <w:r>
        <w:rPr>
          <w:rFonts w:hint="eastAsia" w:ascii="仿宋_GB2312" w:hAnsi="宋体" w:eastAsia="仿宋_GB2312"/>
          <w:sz w:val="28"/>
          <w:szCs w:val="28"/>
        </w:rPr>
        <w:t>6</w:t>
      </w:r>
      <w:r>
        <w:rPr>
          <w:rFonts w:ascii="仿宋_GB2312" w:hAnsi="宋体" w:eastAsia="仿宋_GB2312"/>
          <w:sz w:val="28"/>
          <w:szCs w:val="28"/>
        </w:rPr>
        <w:t>-</w:t>
      </w:r>
      <w:r>
        <w:rPr>
          <w:rFonts w:hint="eastAsia" w:ascii="仿宋_GB2312" w:hAnsi="宋体" w:eastAsia="仿宋_GB2312"/>
          <w:sz w:val="28"/>
          <w:szCs w:val="28"/>
        </w:rPr>
        <w:t>N</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3、采购人：乌审旗嘎鲁图通用机场有限公司</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4、资金来源：企业自筹</w:t>
      </w: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5、采购内容：双路直流</w:t>
      </w:r>
      <w:r>
        <w:rPr>
          <w:rFonts w:hint="eastAsia" w:ascii="仿宋_GB2312" w:eastAsia="仿宋_GB2312"/>
          <w:sz w:val="28"/>
          <w:szCs w:val="28"/>
          <w:lang w:eastAsia="zh-CN"/>
        </w:rPr>
        <w:t>飞机电源车</w:t>
      </w:r>
      <w:r>
        <w:rPr>
          <w:rFonts w:hint="eastAsia" w:ascii="仿宋_GB2312" w:eastAsia="仿宋_GB2312"/>
          <w:sz w:val="28"/>
          <w:szCs w:val="28"/>
          <w:lang w:val="en-US" w:eastAsia="zh-CN"/>
        </w:rPr>
        <w:t>1台</w:t>
      </w:r>
    </w:p>
    <w:p>
      <w:pPr>
        <w:pStyle w:val="4"/>
        <w:spacing w:line="560" w:lineRule="exact"/>
        <w:rPr>
          <w:rFonts w:hint="eastAsia"/>
        </w:rPr>
      </w:pPr>
      <w:bookmarkStart w:id="2" w:name="_Toc399769527"/>
      <w:r>
        <w:rPr>
          <w:rFonts w:hint="eastAsia"/>
          <w:lang w:eastAsia="zh-CN"/>
        </w:rPr>
        <w:t>二、</w:t>
      </w:r>
      <w:r>
        <w:rPr>
          <w:rFonts w:hint="eastAsia"/>
        </w:rPr>
        <w:t>招标文件的获取</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获取时间：从2022年</w:t>
      </w:r>
      <w:r>
        <w:rPr>
          <w:rFonts w:hint="eastAsia" w:ascii="仿宋_GB2312" w:hAnsi="仿宋_GB2312" w:eastAsia="仿宋_GB2312" w:cs="仿宋_GB2312"/>
          <w:color w:val="000000"/>
          <w:sz w:val="28"/>
          <w:szCs w:val="28"/>
          <w:lang w:eastAsia="zh-CN"/>
        </w:rPr>
        <w:t>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月16日</w:t>
      </w:r>
      <w:r>
        <w:rPr>
          <w:rFonts w:hint="eastAsia" w:ascii="仿宋_GB2312" w:hAnsi="仿宋_GB2312" w:eastAsia="仿宋_GB2312" w:cs="仿宋_GB2312"/>
          <w:color w:val="000000"/>
          <w:sz w:val="28"/>
          <w:szCs w:val="28"/>
        </w:rPr>
        <w:t>00时00分到2022年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22</w:t>
      </w:r>
      <w:bookmarkStart w:id="7" w:name="_GoBack"/>
      <w:bookmarkEnd w:id="7"/>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rPr>
        <w:t>时</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0分</w:t>
      </w:r>
    </w:p>
    <w:p>
      <w:pPr>
        <w:spacing w:line="560" w:lineRule="exact"/>
        <w:ind w:firstLine="560" w:firstLineChars="200"/>
        <w:rPr>
          <w:rFonts w:hint="eastAsia" w:ascii="仿宋_GB2312" w:eastAsia="仿宋_GB2312"/>
          <w:kern w:val="2"/>
          <w:sz w:val="28"/>
          <w:szCs w:val="28"/>
        </w:rPr>
      </w:pPr>
      <w:r>
        <w:rPr>
          <w:rFonts w:hint="eastAsia" w:ascii="仿宋_GB2312" w:hAnsi="仿宋_GB2312" w:eastAsia="仿宋_GB2312" w:cs="仿宋_GB2312"/>
          <w:color w:val="000000"/>
          <w:sz w:val="28"/>
          <w:szCs w:val="28"/>
        </w:rPr>
        <w:t>获取方式：凡有意参加投标者，请登录《鄂尔多斯机场管理集团有限公司官网》（http：//ordosairport.com/），点击“公告”栏中的“招标信息”栏，查询信息公告，点击信息公告页面正下方蓝色栏“我要报名”，填写准确的企业信息进行网上报名，点击信息公告页面左下角“附件”即可浏览、下载招标文件。</w:t>
      </w:r>
    </w:p>
    <w:p>
      <w:pPr>
        <w:pStyle w:val="4"/>
        <w:spacing w:line="560" w:lineRule="exact"/>
        <w:rPr>
          <w:rFonts w:hint="eastAsia"/>
          <w:lang w:eastAsia="zh-CN"/>
        </w:rPr>
      </w:pPr>
      <w:r>
        <w:rPr>
          <w:rFonts w:hint="eastAsia"/>
          <w:lang w:eastAsia="zh-CN"/>
        </w:rPr>
        <w:t>三、投标文件的递交</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递交截止时间：2022年1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22</w:t>
      </w:r>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rPr>
        <w:t>时</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0分</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递交方式：鄂尔多斯机场管理集团综合办公楼208室邮寄方式递交</w:t>
      </w:r>
    </w:p>
    <w:p>
      <w:pPr>
        <w:pStyle w:val="4"/>
        <w:spacing w:line="560" w:lineRule="exact"/>
        <w:rPr>
          <w:rFonts w:hint="eastAsia"/>
          <w:lang w:eastAsia="zh-CN"/>
        </w:rPr>
      </w:pPr>
      <w:r>
        <w:rPr>
          <w:rFonts w:hint="eastAsia"/>
          <w:lang w:eastAsia="zh-CN"/>
        </w:rPr>
        <w:t>四、开标时间及地点</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开标时间：2022年12月</w:t>
      </w:r>
      <w:r>
        <w:rPr>
          <w:rFonts w:hint="eastAsia" w:ascii="仿宋_GB2312" w:hAnsi="仿宋_GB2312" w:eastAsia="仿宋_GB2312" w:cs="仿宋_GB2312"/>
          <w:color w:val="000000"/>
          <w:sz w:val="28"/>
          <w:szCs w:val="28"/>
          <w:lang w:val="en-US" w:eastAsia="zh-CN"/>
        </w:rPr>
        <w:t>22</w:t>
      </w:r>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rPr>
        <w:t>时</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0分</w:t>
      </w:r>
    </w:p>
    <w:p>
      <w:pPr>
        <w:spacing w:line="560" w:lineRule="exact"/>
        <w:ind w:firstLine="560" w:firstLineChars="200"/>
        <w:rPr>
          <w:rFonts w:hint="eastAsia" w:ascii="仿宋_GB2312" w:eastAsia="仿宋_GB2312"/>
          <w:sz w:val="28"/>
          <w:szCs w:val="28"/>
          <w:lang w:eastAsia="zh-CN"/>
        </w:rPr>
      </w:pPr>
      <w:r>
        <w:rPr>
          <w:rFonts w:hint="eastAsia" w:ascii="仿宋_GB2312" w:hAnsi="仿宋_GB2312" w:eastAsia="仿宋_GB2312" w:cs="仿宋_GB2312"/>
          <w:color w:val="000000"/>
          <w:sz w:val="28"/>
          <w:szCs w:val="28"/>
        </w:rPr>
        <w:t>开标地点：鄂尔多斯机场管理集团综合办公楼208室</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视频开标</w:t>
      </w:r>
      <w:r>
        <w:rPr>
          <w:rFonts w:hint="eastAsia" w:ascii="仿宋_GB2312" w:hAnsi="仿宋_GB2312" w:eastAsia="仿宋_GB2312" w:cs="仿宋_GB2312"/>
          <w:color w:val="000000"/>
          <w:sz w:val="28"/>
          <w:szCs w:val="28"/>
          <w:lang w:eastAsia="zh-CN"/>
        </w:rPr>
        <w:t>）</w:t>
      </w:r>
    </w:p>
    <w:p>
      <w:pPr>
        <w:spacing w:line="560" w:lineRule="exact"/>
        <w:rPr>
          <w:rFonts w:ascii="仿宋" w:hAnsi="仿宋" w:eastAsia="仿宋" w:cs="仿宋"/>
          <w:b/>
          <w:bCs/>
          <w:sz w:val="28"/>
          <w:szCs w:val="28"/>
        </w:rPr>
      </w:pPr>
      <w:r>
        <w:rPr>
          <w:rFonts w:hint="eastAsia" w:ascii="仿宋" w:hAnsi="仿宋" w:eastAsia="仿宋" w:cs="仿宋"/>
          <w:b/>
          <w:bCs/>
          <w:sz w:val="28"/>
          <w:szCs w:val="28"/>
          <w:lang w:eastAsia="zh-CN"/>
        </w:rPr>
        <w:t>五</w:t>
      </w:r>
      <w:r>
        <w:rPr>
          <w:rFonts w:hint="eastAsia" w:ascii="仿宋" w:hAnsi="仿宋" w:eastAsia="仿宋" w:cs="仿宋"/>
          <w:b/>
          <w:bCs/>
          <w:sz w:val="28"/>
          <w:szCs w:val="28"/>
        </w:rPr>
        <w:t>、联系方式</w:t>
      </w:r>
      <w:bookmarkEnd w:id="2"/>
    </w:p>
    <w:p>
      <w:pPr>
        <w:spacing w:line="560" w:lineRule="exact"/>
        <w:ind w:firstLine="560" w:firstLineChars="200"/>
        <w:rPr>
          <w:rFonts w:ascii="仿宋_GB2312" w:eastAsia="仿宋_GB2312"/>
          <w:sz w:val="28"/>
          <w:szCs w:val="28"/>
        </w:rPr>
      </w:pPr>
      <w:r>
        <w:rPr>
          <w:rFonts w:hint="eastAsia" w:ascii="仿宋_GB2312" w:eastAsia="仿宋_GB2312"/>
          <w:sz w:val="28"/>
          <w:szCs w:val="28"/>
        </w:rPr>
        <w:t>联系人：陈先生</w:t>
      </w:r>
    </w:p>
    <w:p>
      <w:pPr>
        <w:spacing w:line="560" w:lineRule="exact"/>
        <w:ind w:firstLine="560" w:firstLineChars="200"/>
        <w:rPr>
          <w:rFonts w:hint="default" w:ascii="仿宋_GB2312" w:eastAsia="仿宋_GB2312"/>
          <w:sz w:val="28"/>
          <w:szCs w:val="28"/>
          <w:lang w:val="en-US" w:eastAsia="zh-CN"/>
        </w:rPr>
      </w:pPr>
      <w:r>
        <w:rPr>
          <w:rFonts w:hint="eastAsia" w:ascii="仿宋_GB2312" w:eastAsia="仿宋_GB2312"/>
          <w:sz w:val="28"/>
          <w:szCs w:val="28"/>
        </w:rPr>
        <w:t>电  话：</w:t>
      </w:r>
      <w:r>
        <w:rPr>
          <w:rFonts w:hint="eastAsia" w:ascii="仿宋_GB2312" w:eastAsia="仿宋_GB2312"/>
          <w:sz w:val="28"/>
          <w:szCs w:val="28"/>
          <w:lang w:val="en-US" w:eastAsia="zh-CN"/>
        </w:rPr>
        <w:t>13015073576</w:t>
      </w:r>
    </w:p>
    <w:p>
      <w:pPr>
        <w:spacing w:line="560" w:lineRule="exact"/>
        <w:ind w:firstLine="560" w:firstLineChars="200"/>
      </w:pPr>
      <w:r>
        <w:rPr>
          <w:rFonts w:hint="eastAsia" w:ascii="仿宋_GB2312" w:eastAsia="仿宋_GB2312"/>
          <w:sz w:val="28"/>
          <w:szCs w:val="28"/>
        </w:rPr>
        <w:t>邮  箱：738787111@qq.com</w:t>
      </w:r>
    </w:p>
    <w:p>
      <w:pPr>
        <w:pStyle w:val="7"/>
        <w:jc w:val="center"/>
        <w:rPr>
          <w:rFonts w:ascii="仿宋" w:hAnsi="仿宋" w:eastAsia="仿宋" w:cs="仿宋"/>
          <w:b/>
          <w:bCs/>
          <w:sz w:val="44"/>
          <w:szCs w:val="44"/>
        </w:rPr>
      </w:pPr>
    </w:p>
    <w:p>
      <w:pPr>
        <w:pStyle w:val="7"/>
        <w:jc w:val="center"/>
        <w:rPr>
          <w:rFonts w:ascii="仿宋" w:hAnsi="仿宋" w:eastAsia="仿宋" w:cs="仿宋"/>
          <w:b/>
          <w:bCs/>
          <w:sz w:val="44"/>
          <w:szCs w:val="44"/>
        </w:rPr>
      </w:pPr>
      <w:r>
        <w:rPr>
          <w:rFonts w:hint="eastAsia" w:ascii="仿宋" w:hAnsi="仿宋" w:eastAsia="仿宋" w:cs="仿宋"/>
          <w:b/>
          <w:bCs/>
          <w:sz w:val="44"/>
          <w:szCs w:val="44"/>
        </w:rPr>
        <w:t>第二章 供应商须知</w:t>
      </w:r>
    </w:p>
    <w:p>
      <w:pPr>
        <w:pStyle w:val="4"/>
      </w:pPr>
      <w:bookmarkStart w:id="3" w:name="_Toc399769529"/>
    </w:p>
    <w:p>
      <w:pPr>
        <w:pStyle w:val="4"/>
        <w:numPr>
          <w:ilvl w:val="0"/>
          <w:numId w:val="2"/>
        </w:numPr>
      </w:pPr>
      <w:r>
        <w:rPr>
          <w:rFonts w:hint="eastAsia"/>
        </w:rPr>
        <w:t>供应商资格要求</w:t>
      </w:r>
      <w:bookmarkEnd w:id="3"/>
    </w:p>
    <w:p>
      <w:pPr>
        <w:spacing w:line="360" w:lineRule="auto"/>
        <w:ind w:firstLine="560" w:firstLineChars="200"/>
        <w:textAlignment w:val="baseline"/>
        <w:rPr>
          <w:rFonts w:hint="eastAsia" w:ascii="仿宋" w:hAnsi="仿宋" w:eastAsia="仿宋" w:cs="Times New Roman"/>
          <w:b w:val="0"/>
          <w:bCs w:val="0"/>
          <w:color w:val="000000"/>
          <w:kern w:val="2"/>
          <w:sz w:val="28"/>
          <w:szCs w:val="28"/>
          <w:lang w:val="en-US" w:eastAsia="zh-CN" w:bidi="ar-SA"/>
        </w:rPr>
      </w:pPr>
      <w:r>
        <w:rPr>
          <w:rFonts w:hint="eastAsia" w:ascii="仿宋" w:hAnsi="仿宋" w:eastAsia="仿宋" w:cs="Times New Roman"/>
          <w:b w:val="0"/>
          <w:bCs w:val="0"/>
          <w:color w:val="000000"/>
          <w:kern w:val="2"/>
          <w:sz w:val="28"/>
          <w:szCs w:val="28"/>
          <w:lang w:val="en-US" w:eastAsia="zh-CN" w:bidi="ar-SA"/>
        </w:rPr>
        <w:t>满足《中华人民共和国政府采购法》第二十二条规定;</w:t>
      </w:r>
    </w:p>
    <w:p>
      <w:pPr>
        <w:spacing w:line="360" w:lineRule="auto"/>
        <w:ind w:firstLine="560" w:firstLineChars="200"/>
        <w:textAlignment w:val="baseline"/>
        <w:rPr>
          <w:rFonts w:ascii="仿宋_GB2312" w:eastAsia="仿宋_GB2312"/>
          <w:color w:val="000000" w:themeColor="text1"/>
          <w:sz w:val="28"/>
          <w:szCs w:val="28"/>
          <w:highlight w:val="none"/>
          <w14:textFill>
            <w14:solidFill>
              <w14:schemeClr w14:val="tx1"/>
            </w14:solidFill>
          </w14:textFill>
        </w:rPr>
      </w:pPr>
      <w:r>
        <w:rPr>
          <w:rFonts w:hint="eastAsia" w:ascii="仿宋_GB2312" w:eastAsia="仿宋_GB2312"/>
          <w:color w:val="000000" w:themeColor="text1"/>
          <w:sz w:val="28"/>
          <w:szCs w:val="28"/>
          <w:highlight w:val="none"/>
          <w14:textFill>
            <w14:solidFill>
              <w14:schemeClr w14:val="tx1"/>
            </w14:solidFill>
          </w14:textFill>
        </w:rPr>
        <w:t>投标人或所投车辆制造商应提供所投产品的《民用机场专用设备通告》及车辆检测报告（提供通告及报告复印件，原件备查）。</w:t>
      </w:r>
    </w:p>
    <w:p>
      <w:pPr>
        <w:pStyle w:val="4"/>
      </w:pPr>
      <w:bookmarkStart w:id="4" w:name="_Toc425349053"/>
      <w:r>
        <w:rPr>
          <w:rFonts w:hint="eastAsia"/>
          <w:lang w:eastAsia="zh-CN"/>
        </w:rPr>
        <w:t>二</w:t>
      </w:r>
      <w:r>
        <w:rPr>
          <w:rFonts w:hint="eastAsia"/>
        </w:rPr>
        <w:t>、投标文件的构成</w:t>
      </w:r>
    </w:p>
    <w:p>
      <w:pPr>
        <w:pStyle w:val="4"/>
        <w:spacing w:line="360" w:lineRule="auto"/>
        <w:ind w:firstLine="560" w:firstLineChars="200"/>
        <w:rPr>
          <w:rFonts w:ascii="仿宋" w:hAnsi="仿宋" w:eastAsia="仿宋"/>
          <w:b w:val="0"/>
          <w:bCs w:val="0"/>
          <w:color w:val="000000"/>
          <w:sz w:val="28"/>
          <w:szCs w:val="28"/>
        </w:rPr>
      </w:pPr>
      <w:r>
        <w:rPr>
          <w:rFonts w:hint="eastAsia" w:ascii="仿宋" w:hAnsi="仿宋" w:eastAsia="仿宋"/>
          <w:b w:val="0"/>
          <w:bCs w:val="0"/>
          <w:color w:val="000000"/>
          <w:sz w:val="28"/>
          <w:szCs w:val="28"/>
        </w:rPr>
        <w:t>供应商编制的响应文件应包括但不少于下列内容：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1.竞标承诺书</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2.产品最终报价表（包括税费等）</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3.售后服务承诺</w:t>
      </w:r>
    </w:p>
    <w:p>
      <w:pPr>
        <w:spacing w:line="360" w:lineRule="auto"/>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.供应商须提供的各类相关证明材料</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（1）资格证明材料（三证合一营业执照（副本）复印件、开户许可证或基本户存款信息等）；</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（2）供应商认为需提供的相关证明文件及资料。</w:t>
      </w:r>
    </w:p>
    <w:p>
      <w:pPr>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以上文件均需装订成册，响应文件需递交正本1份，副本4份，PDF格式电子文档1份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sz w:val="28"/>
          <w:szCs w:val="28"/>
        </w:rPr>
        <w:t>响应文件必须密封</w:t>
      </w:r>
      <w:r>
        <w:rPr>
          <w:rFonts w:hint="eastAsia" w:ascii="仿宋" w:hAnsi="仿宋" w:eastAsia="仿宋"/>
          <w:color w:val="000000"/>
          <w:sz w:val="28"/>
          <w:szCs w:val="28"/>
        </w:rPr>
        <w:t>。</w:t>
      </w:r>
      <w:r>
        <w:rPr>
          <w:rFonts w:hint="eastAsia" w:ascii="仿宋" w:hAnsi="仿宋" w:eastAsia="仿宋"/>
          <w:color w:val="000000"/>
          <w:kern w:val="0"/>
          <w:sz w:val="28"/>
          <w:szCs w:val="28"/>
        </w:rPr>
        <w:t>响应文件在封面必须清楚地标明“正本”或“副本”字样。若副本与正本不符，以正本为准。</w:t>
      </w:r>
      <w:r>
        <w:rPr>
          <w:rFonts w:hint="eastAsia" w:ascii="仿宋" w:hAnsi="仿宋" w:eastAsia="仿宋"/>
          <w:color w:val="000000"/>
          <w:sz w:val="28"/>
          <w:szCs w:val="28"/>
        </w:rPr>
        <w:t>响应文件及资料无论供应商是否中标均不予退还。</w:t>
      </w:r>
    </w:p>
    <w:bookmarkEnd w:id="4"/>
    <w:p>
      <w:pPr>
        <w:pStyle w:val="4"/>
        <w:spacing w:line="360" w:lineRule="auto"/>
      </w:pPr>
      <w:bookmarkStart w:id="5" w:name="_Toc425349056"/>
      <w:r>
        <w:rPr>
          <w:rFonts w:hint="eastAsia"/>
          <w:lang w:eastAsia="zh-CN"/>
        </w:rPr>
        <w:t>三</w:t>
      </w:r>
      <w:r>
        <w:rPr>
          <w:rFonts w:hint="eastAsia"/>
        </w:rPr>
        <w:t>、评标与中标</w:t>
      </w:r>
      <w:bookmarkEnd w:id="5"/>
    </w:p>
    <w:p>
      <w:pPr>
        <w:spacing w:line="360" w:lineRule="auto"/>
        <w:ind w:firstLine="560" w:firstLineChars="200"/>
        <w:rPr>
          <w:rFonts w:ascii="仿宋_GB2312" w:eastAsia="仿宋_GB2312"/>
          <w:sz w:val="28"/>
          <w:szCs w:val="28"/>
        </w:rPr>
      </w:pPr>
      <w:r>
        <w:rPr>
          <w:rFonts w:hint="eastAsia" w:ascii="仿宋_GB2312" w:eastAsia="仿宋_GB2312"/>
          <w:sz w:val="28"/>
          <w:szCs w:val="28"/>
        </w:rPr>
        <w:t>乌审旗嘎鲁图通用机场有限公司组织成立竞争性谈判小组根据以下程序进行谈判：</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（一）公布递交响应文件供应商名称。监督人员在磋商现场检查响应文件的密封情况，响应文件的密封情况经确认无误后，工作人员当众拆封。</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二）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（三）磋商与报价</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1.磋商</w:t>
      </w:r>
    </w:p>
    <w:p>
      <w:pPr>
        <w:spacing w:line="360" w:lineRule="auto"/>
        <w:ind w:firstLine="560" w:firstLineChars="200"/>
        <w:rPr>
          <w:rFonts w:ascii="仿宋_GB2312" w:eastAsia="仿宋_GB2312"/>
          <w:sz w:val="28"/>
          <w:szCs w:val="28"/>
        </w:rPr>
      </w:pPr>
      <w:r>
        <w:rPr>
          <w:rFonts w:ascii="仿宋_GB2312" w:eastAsia="仿宋_GB2312"/>
          <w:sz w:val="28"/>
          <w:szCs w:val="28"/>
        </w:rPr>
        <w:t>磋商小组对投标文件响应情况、报价、企业资质等方面进行全面比较与评价，了解和掌握各实质性响应供应商的响应程度，做好磋商准备。</w:t>
      </w:r>
    </w:p>
    <w:p>
      <w:pPr>
        <w:spacing w:line="360" w:lineRule="auto"/>
        <w:ind w:firstLine="560" w:firstLineChars="200"/>
        <w:rPr>
          <w:rFonts w:ascii="仿宋_GB2312" w:eastAsia="仿宋_GB2312"/>
          <w:sz w:val="28"/>
          <w:szCs w:val="28"/>
        </w:rPr>
      </w:pPr>
      <w:r>
        <w:rPr>
          <w:rFonts w:ascii="仿宋_GB2312" w:eastAsia="仿宋_GB2312"/>
          <w:sz w:val="28"/>
          <w:szCs w:val="28"/>
        </w:rPr>
        <w:t>磋商小组通过</w:t>
      </w:r>
      <w:r>
        <w:rPr>
          <w:rFonts w:hint="eastAsia" w:ascii="仿宋_GB2312" w:eastAsia="仿宋_GB2312"/>
          <w:sz w:val="28"/>
          <w:szCs w:val="28"/>
        </w:rPr>
        <w:t>供应商</w:t>
      </w:r>
      <w:r>
        <w:rPr>
          <w:rFonts w:ascii="仿宋_GB2312" w:eastAsia="仿宋_GB2312"/>
          <w:sz w:val="28"/>
          <w:szCs w:val="28"/>
        </w:rPr>
        <w:t>抽签的顺序确定参加磋商</w:t>
      </w:r>
      <w:r>
        <w:rPr>
          <w:rFonts w:hint="eastAsia" w:ascii="仿宋_GB2312" w:eastAsia="仿宋_GB2312"/>
          <w:sz w:val="28"/>
          <w:szCs w:val="28"/>
        </w:rPr>
        <w:t>供应商</w:t>
      </w:r>
      <w:r>
        <w:rPr>
          <w:rFonts w:ascii="仿宋_GB2312" w:eastAsia="仿宋_GB2312"/>
          <w:sz w:val="28"/>
          <w:szCs w:val="28"/>
        </w:rPr>
        <w:t>的磋商顺序，所有磋商小组成员集体与每位</w:t>
      </w:r>
      <w:r>
        <w:rPr>
          <w:rFonts w:hint="eastAsia" w:ascii="仿宋_GB2312" w:eastAsia="仿宋_GB2312"/>
          <w:sz w:val="28"/>
          <w:szCs w:val="28"/>
        </w:rPr>
        <w:t>供应商</w:t>
      </w:r>
      <w:r>
        <w:rPr>
          <w:rFonts w:ascii="仿宋_GB2312" w:eastAsia="仿宋_GB2312"/>
          <w:sz w:val="28"/>
          <w:szCs w:val="28"/>
        </w:rPr>
        <w:t>分别进行单独磋商，磋商轮次由小组成员视情况而定。</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2.报价</w:t>
      </w:r>
    </w:p>
    <w:p>
      <w:pPr>
        <w:spacing w:line="360" w:lineRule="auto"/>
        <w:ind w:firstLine="560" w:firstLineChars="200"/>
        <w:rPr>
          <w:rFonts w:ascii="仿宋_GB2312" w:eastAsia="仿宋_GB2312"/>
          <w:sz w:val="28"/>
          <w:szCs w:val="28"/>
        </w:rPr>
      </w:pPr>
      <w:r>
        <w:rPr>
          <w:rFonts w:ascii="仿宋_GB2312" w:eastAsia="仿宋_GB2312"/>
          <w:sz w:val="28"/>
          <w:szCs w:val="28"/>
        </w:rPr>
        <w:t>每一个磋商轮次进行一次报价，报价以书面形式须由法定代表人或其授权人签字确认后送交磋商小组</w:t>
      </w:r>
      <w:r>
        <w:rPr>
          <w:rFonts w:hint="eastAsia" w:ascii="仿宋_GB2312" w:eastAsia="仿宋_GB2312"/>
          <w:sz w:val="28"/>
          <w:szCs w:val="28"/>
        </w:rPr>
        <w:t>（视频开标由各供应商线上确认并递交纸质版确认单）</w:t>
      </w:r>
      <w:r>
        <w:rPr>
          <w:rFonts w:ascii="仿宋_GB2312" w:eastAsia="仿宋_GB2312"/>
          <w:sz w:val="28"/>
          <w:szCs w:val="28"/>
        </w:rPr>
        <w:t>。</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3.评标办法与确定成交供应商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本项目采用</w:t>
      </w:r>
      <w:r>
        <w:rPr>
          <w:rFonts w:hint="eastAsia" w:ascii="仿宋_GB2312" w:eastAsia="仿宋_GB2312"/>
          <w:sz w:val="28"/>
          <w:szCs w:val="28"/>
          <w:u w:val="single"/>
        </w:rPr>
        <w:t>综合评分法</w:t>
      </w:r>
      <w:r>
        <w:rPr>
          <w:rFonts w:hint="eastAsia" w:ascii="仿宋_GB2312" w:eastAsia="仿宋_GB2312"/>
          <w:sz w:val="28"/>
          <w:szCs w:val="28"/>
        </w:rPr>
        <w:t>进行评标，报价相同时，评服务，比承诺，即在最大限度地满足采购文件实质性要求前提下，按照采购文件中规定的各项因素进行综合评审，进行最优商家选取。</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评分细则</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a.价格权重占60%</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最低投标报价为基准价，投标报价得分=（基础价÷投标报价）×60%×100。</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b.</w:t>
      </w:r>
      <w:r>
        <w:rPr>
          <w:rFonts w:ascii="仿宋_GB2312" w:eastAsia="仿宋_GB2312"/>
          <w:sz w:val="28"/>
          <w:szCs w:val="28"/>
        </w:rPr>
        <w:t>商务及技术权重</w:t>
      </w:r>
      <w:r>
        <w:rPr>
          <w:rFonts w:hint="eastAsia" w:ascii="仿宋_GB2312" w:eastAsia="仿宋_GB2312"/>
          <w:sz w:val="28"/>
          <w:szCs w:val="28"/>
        </w:rPr>
        <w:t>4</w:t>
      </w:r>
      <w:r>
        <w:rPr>
          <w:rFonts w:ascii="仿宋_GB2312" w:eastAsia="仿宋_GB2312"/>
          <w:sz w:val="28"/>
          <w:szCs w:val="28"/>
        </w:rPr>
        <w:t>0%</w:t>
      </w:r>
    </w:p>
    <w:tbl>
      <w:tblPr>
        <w:tblStyle w:val="19"/>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4"/>
        <w:gridCol w:w="7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94" w:type="dxa"/>
            <w:vAlign w:val="center"/>
          </w:tcPr>
          <w:p>
            <w:pPr>
              <w:spacing w:line="276" w:lineRule="auto"/>
              <w:jc w:val="center"/>
              <w:rPr>
                <w:rFonts w:ascii="仿宋" w:hAnsi="仿宋" w:eastAsia="仿宋" w:cs="仿宋_GB2312"/>
                <w:b/>
                <w:bCs/>
                <w:sz w:val="28"/>
                <w:szCs w:val="28"/>
              </w:rPr>
            </w:pPr>
            <w:r>
              <w:rPr>
                <w:rFonts w:hint="eastAsia" w:ascii="仿宋" w:hAnsi="仿宋" w:eastAsia="仿宋" w:cs="仿宋_GB2312"/>
                <w:b/>
                <w:bCs/>
                <w:sz w:val="28"/>
                <w:szCs w:val="28"/>
              </w:rPr>
              <w:t>评审因素</w:t>
            </w:r>
          </w:p>
        </w:tc>
        <w:tc>
          <w:tcPr>
            <w:tcW w:w="7260" w:type="dxa"/>
            <w:vAlign w:val="center"/>
          </w:tcPr>
          <w:p>
            <w:pPr>
              <w:spacing w:line="276" w:lineRule="auto"/>
              <w:jc w:val="center"/>
              <w:rPr>
                <w:rFonts w:ascii="仿宋" w:hAnsi="仿宋" w:eastAsia="仿宋" w:cs="仿宋_GB2312"/>
                <w:b/>
                <w:bCs/>
                <w:sz w:val="28"/>
                <w:szCs w:val="28"/>
              </w:rPr>
            </w:pPr>
            <w:r>
              <w:rPr>
                <w:rFonts w:hint="eastAsia" w:ascii="仿宋" w:hAnsi="仿宋" w:eastAsia="仿宋" w:cs="仿宋_GB2312"/>
                <w:b/>
                <w:bCs/>
                <w:sz w:val="28"/>
                <w:szCs w:val="28"/>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94" w:type="dxa"/>
            <w:vAlign w:val="center"/>
          </w:tcPr>
          <w:p>
            <w:pPr>
              <w:jc w:val="center"/>
              <w:rPr>
                <w:rFonts w:ascii="仿宋" w:hAnsi="仿宋" w:eastAsia="仿宋" w:cs="仿宋"/>
                <w:color w:val="000000"/>
                <w:sz w:val="28"/>
                <w:szCs w:val="28"/>
              </w:rPr>
            </w:pPr>
            <w:r>
              <w:rPr>
                <w:rFonts w:hint="eastAsia" w:ascii="仿宋_GB2312" w:hAnsi="仿宋_GB2312" w:eastAsia="仿宋_GB2312" w:cs="仿宋_GB2312"/>
                <w:kern w:val="0"/>
                <w:sz w:val="28"/>
                <w:szCs w:val="28"/>
              </w:rPr>
              <w:t>投标产品的技术参数响应程度（10分）</w:t>
            </w:r>
          </w:p>
        </w:tc>
        <w:tc>
          <w:tcPr>
            <w:tcW w:w="7260" w:type="dxa"/>
            <w:vAlign w:val="center"/>
          </w:tcPr>
          <w:p>
            <w:pPr>
              <w:pStyle w:val="7"/>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1.投标产品的技术参数响应招标文件要求，重要技术参数全部或部分优于招标文件要求。（10分）</w:t>
            </w:r>
          </w:p>
          <w:p>
            <w:pPr>
              <w:pStyle w:val="7"/>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2.投标产品的技术参数响应招标文件要求，重要技术参数满足招标文件要求。（6-</w:t>
            </w:r>
            <w:r>
              <w:rPr>
                <w:rFonts w:ascii="仿宋_GB2312" w:hAnsi="仿宋_GB2312" w:eastAsia="仿宋_GB2312" w:cs="仿宋_GB2312"/>
                <w:kern w:val="0"/>
                <w:sz w:val="28"/>
                <w:szCs w:val="28"/>
              </w:rPr>
              <w:t>9</w:t>
            </w:r>
            <w:r>
              <w:rPr>
                <w:rFonts w:hint="eastAsia" w:ascii="仿宋_GB2312" w:hAnsi="仿宋_GB2312" w:eastAsia="仿宋_GB2312" w:cs="仿宋_GB2312"/>
                <w:kern w:val="0"/>
                <w:sz w:val="28"/>
                <w:szCs w:val="28"/>
              </w:rPr>
              <w:t>分）</w:t>
            </w:r>
          </w:p>
          <w:p>
            <w:pPr>
              <w:pStyle w:val="7"/>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3.投标产品的技术参数没有完全响应招标文件要求，部分一般技术参数（非主要）低于招标文件要求。（1-5分）</w:t>
            </w:r>
          </w:p>
          <w:p>
            <w:pPr>
              <w:spacing w:line="276" w:lineRule="auto"/>
              <w:jc w:val="left"/>
              <w:rPr>
                <w:rFonts w:ascii="仿宋" w:hAnsi="仿宋" w:eastAsia="仿宋" w:cs="仿宋"/>
                <w:color w:val="000000"/>
                <w:sz w:val="28"/>
                <w:szCs w:val="28"/>
              </w:rPr>
            </w:pPr>
            <w:r>
              <w:rPr>
                <w:rFonts w:hint="eastAsia" w:ascii="仿宋_GB2312" w:hAnsi="仿宋_GB2312" w:eastAsia="仿宋_GB2312" w:cs="仿宋_GB2312"/>
                <w:kern w:val="0"/>
                <w:sz w:val="28"/>
                <w:szCs w:val="28"/>
              </w:rPr>
              <w:t>4.投标产品的技术参数没有响应招标文件要求，部分重要技术参数低于招标文件要求。（0分）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供应商业绩（5分）</w:t>
            </w:r>
          </w:p>
        </w:tc>
        <w:tc>
          <w:tcPr>
            <w:tcW w:w="7260"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019</w:t>
            </w:r>
            <w:r>
              <w:rPr>
                <w:rFonts w:hint="eastAsia" w:ascii="仿宋" w:hAnsi="仿宋" w:eastAsia="仿宋" w:cs="仿宋"/>
                <w:color w:val="000000"/>
                <w:sz w:val="28"/>
                <w:szCs w:val="28"/>
              </w:rPr>
              <w:t>年</w:t>
            </w:r>
            <w:r>
              <w:rPr>
                <w:rFonts w:ascii="仿宋" w:hAnsi="仿宋" w:eastAsia="仿宋" w:cs="仿宋"/>
                <w:color w:val="000000"/>
                <w:sz w:val="28"/>
                <w:szCs w:val="28"/>
              </w:rPr>
              <w:t>1月1日至投标截止之日</w:t>
            </w:r>
            <w:r>
              <w:rPr>
                <w:rFonts w:hint="eastAsia" w:ascii="仿宋" w:hAnsi="仿宋" w:eastAsia="仿宋" w:cs="仿宋"/>
                <w:color w:val="000000"/>
                <w:sz w:val="28"/>
                <w:szCs w:val="28"/>
              </w:rPr>
              <w:t>（以合同签订时间为准），供应商每具有</w:t>
            </w:r>
            <w:r>
              <w:rPr>
                <w:rFonts w:ascii="仿宋" w:hAnsi="仿宋" w:eastAsia="仿宋" w:cs="仿宋"/>
                <w:color w:val="000000"/>
                <w:sz w:val="28"/>
                <w:szCs w:val="28"/>
              </w:rPr>
              <w:t>1项国内机场</w:t>
            </w:r>
            <w:r>
              <w:rPr>
                <w:rFonts w:hint="eastAsia" w:ascii="仿宋" w:hAnsi="仿宋" w:eastAsia="仿宋" w:cs="仿宋"/>
                <w:color w:val="000000"/>
                <w:sz w:val="28"/>
                <w:szCs w:val="28"/>
              </w:rPr>
              <w:t>特种车辆合同金额在1</w:t>
            </w:r>
            <w:r>
              <w:rPr>
                <w:rFonts w:ascii="仿宋" w:hAnsi="仿宋" w:eastAsia="仿宋" w:cs="仿宋"/>
                <w:color w:val="000000"/>
                <w:sz w:val="28"/>
                <w:szCs w:val="28"/>
              </w:rPr>
              <w:t>00</w:t>
            </w:r>
            <w:r>
              <w:rPr>
                <w:rFonts w:hint="eastAsia" w:ascii="仿宋" w:hAnsi="仿宋" w:eastAsia="仿宋" w:cs="仿宋"/>
                <w:color w:val="000000"/>
                <w:sz w:val="28"/>
                <w:szCs w:val="28"/>
              </w:rPr>
              <w:t>万以上（包含1</w:t>
            </w:r>
            <w:r>
              <w:rPr>
                <w:rFonts w:ascii="仿宋" w:hAnsi="仿宋" w:eastAsia="仿宋" w:cs="仿宋"/>
                <w:color w:val="000000"/>
                <w:sz w:val="28"/>
                <w:szCs w:val="28"/>
              </w:rPr>
              <w:t>00</w:t>
            </w:r>
            <w:r>
              <w:rPr>
                <w:rFonts w:hint="eastAsia" w:ascii="仿宋" w:hAnsi="仿宋" w:eastAsia="仿宋" w:cs="仿宋"/>
                <w:color w:val="000000"/>
                <w:sz w:val="28"/>
                <w:szCs w:val="28"/>
              </w:rPr>
              <w:t>万元）</w:t>
            </w:r>
            <w:r>
              <w:rPr>
                <w:rFonts w:ascii="仿宋" w:hAnsi="仿宋" w:eastAsia="仿宋" w:cs="仿宋"/>
                <w:color w:val="000000"/>
                <w:sz w:val="28"/>
                <w:szCs w:val="28"/>
              </w:rPr>
              <w:t>业绩得</w:t>
            </w:r>
            <w:r>
              <w:rPr>
                <w:rFonts w:hint="eastAsia" w:ascii="仿宋" w:hAnsi="仿宋" w:eastAsia="仿宋" w:cs="仿宋"/>
                <w:color w:val="000000"/>
                <w:sz w:val="28"/>
                <w:szCs w:val="28"/>
              </w:rPr>
              <w:t>1分，每增加1个合同业绩加</w:t>
            </w:r>
            <w:r>
              <w:rPr>
                <w:rFonts w:ascii="仿宋" w:hAnsi="仿宋" w:eastAsia="仿宋" w:cs="仿宋"/>
                <w:color w:val="000000"/>
                <w:sz w:val="28"/>
                <w:szCs w:val="28"/>
              </w:rPr>
              <w:t>2</w:t>
            </w:r>
            <w:r>
              <w:rPr>
                <w:rFonts w:hint="eastAsia" w:ascii="仿宋" w:hAnsi="仿宋" w:eastAsia="仿宋" w:cs="仿宋"/>
                <w:color w:val="000000"/>
                <w:sz w:val="28"/>
                <w:szCs w:val="28"/>
              </w:rPr>
              <w:t>分，本项最多得5分。</w:t>
            </w:r>
          </w:p>
          <w:p>
            <w:pPr>
              <w:spacing w:line="276" w:lineRule="auto"/>
              <w:jc w:val="left"/>
              <w:rPr>
                <w:rFonts w:ascii="仿宋" w:hAnsi="仿宋" w:eastAsia="仿宋" w:cs="仿宋"/>
                <w:color w:val="000000"/>
                <w:sz w:val="28"/>
                <w:szCs w:val="28"/>
              </w:rPr>
            </w:pPr>
            <w:r>
              <w:rPr>
                <w:rFonts w:hint="eastAsia" w:ascii="仿宋" w:hAnsi="仿宋" w:eastAsia="仿宋" w:cs="仿宋"/>
                <w:bCs/>
                <w:color w:val="000000"/>
                <w:sz w:val="28"/>
                <w:szCs w:val="28"/>
              </w:rPr>
              <w:t>注：投标文件须同时提供供应商中标通知书及合同复印件</w:t>
            </w:r>
            <w:r>
              <w:rPr>
                <w:rFonts w:hint="eastAsia" w:ascii="仿宋" w:hAnsi="仿宋" w:eastAsia="仿宋" w:cs="仿宋"/>
                <w:color w:val="000000"/>
                <w:sz w:val="28"/>
                <w:szCs w:val="28"/>
              </w:rPr>
              <w:t>，否则不得分。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售后服务（5分）</w:t>
            </w:r>
          </w:p>
        </w:tc>
        <w:tc>
          <w:tcPr>
            <w:tcW w:w="7260" w:type="dxa"/>
            <w:vAlign w:val="center"/>
          </w:tcPr>
          <w:p>
            <w:pPr>
              <w:spacing w:line="276" w:lineRule="auto"/>
              <w:jc w:val="left"/>
              <w:rPr>
                <w:rFonts w:ascii="仿宋" w:hAnsi="仿宋" w:eastAsia="仿宋" w:cs="仿宋"/>
                <w:sz w:val="28"/>
                <w:szCs w:val="28"/>
              </w:rPr>
            </w:pPr>
            <w:r>
              <w:rPr>
                <w:rFonts w:hint="eastAsia" w:ascii="仿宋" w:hAnsi="仿宋" w:eastAsia="仿宋" w:cs="仿宋"/>
                <w:sz w:val="28"/>
                <w:szCs w:val="28"/>
              </w:rPr>
              <w:t>有售后服务方案得5分；售后服务方案详细有针对性的得</w:t>
            </w:r>
            <w:r>
              <w:rPr>
                <w:rFonts w:ascii="仿宋" w:hAnsi="仿宋" w:eastAsia="仿宋" w:cs="仿宋"/>
                <w:sz w:val="28"/>
                <w:szCs w:val="28"/>
              </w:rPr>
              <w:t>1</w:t>
            </w:r>
            <w:r>
              <w:rPr>
                <w:rFonts w:hint="eastAsia" w:ascii="仿宋" w:hAnsi="仿宋" w:eastAsia="仿宋" w:cs="仿宋"/>
                <w:sz w:val="28"/>
                <w:szCs w:val="28"/>
              </w:rPr>
              <w:t>-5分；没有不得分；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sz w:val="28"/>
                <w:szCs w:val="28"/>
              </w:rPr>
              <w:t>增值服务（10分）</w:t>
            </w:r>
          </w:p>
        </w:tc>
        <w:tc>
          <w:tcPr>
            <w:tcW w:w="7260" w:type="dxa"/>
            <w:vAlign w:val="center"/>
          </w:tcPr>
          <w:p>
            <w:pPr>
              <w:spacing w:line="276" w:lineRule="auto"/>
              <w:jc w:val="left"/>
              <w:rPr>
                <w:rFonts w:ascii="仿宋" w:hAnsi="仿宋" w:eastAsia="仿宋" w:cs="仿宋"/>
                <w:sz w:val="28"/>
                <w:szCs w:val="28"/>
              </w:rPr>
            </w:pPr>
            <w:r>
              <w:rPr>
                <w:rFonts w:hint="eastAsia" w:ascii="仿宋" w:hAnsi="仿宋" w:eastAsia="仿宋" w:cs="仿宋"/>
                <w:sz w:val="28"/>
                <w:szCs w:val="28"/>
              </w:rPr>
              <w:t>有增值服务得10分，没有不得分；增值服务详细有针对性的得</w:t>
            </w:r>
            <w:r>
              <w:rPr>
                <w:rFonts w:ascii="仿宋" w:hAnsi="仿宋" w:eastAsia="仿宋" w:cs="仿宋"/>
                <w:sz w:val="28"/>
                <w:szCs w:val="28"/>
              </w:rPr>
              <w:t>1</w:t>
            </w:r>
            <w:r>
              <w:rPr>
                <w:rFonts w:hint="eastAsia" w:ascii="仿宋" w:hAnsi="仿宋" w:eastAsia="仿宋" w:cs="仿宋"/>
                <w:sz w:val="28"/>
                <w:szCs w:val="28"/>
              </w:rPr>
              <w:t>-10分；本项最多得10分。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质保期（10分）</w:t>
            </w:r>
          </w:p>
        </w:tc>
        <w:tc>
          <w:tcPr>
            <w:tcW w:w="7260" w:type="dxa"/>
            <w:vAlign w:val="center"/>
          </w:tcPr>
          <w:p>
            <w:pPr>
              <w:spacing w:line="276" w:lineRule="auto"/>
              <w:jc w:val="left"/>
              <w:rPr>
                <w:rFonts w:ascii="仿宋" w:hAnsi="仿宋" w:eastAsia="仿宋" w:cs="仿宋"/>
                <w:sz w:val="28"/>
                <w:szCs w:val="28"/>
              </w:rPr>
            </w:pPr>
            <w:r>
              <w:rPr>
                <w:rFonts w:hint="eastAsia" w:ascii="仿宋_GB2312" w:hAnsi="仿宋_GB2312" w:eastAsia="仿宋_GB2312" w:cs="仿宋_GB2312"/>
                <w:sz w:val="28"/>
                <w:szCs w:val="28"/>
              </w:rPr>
              <w:t>质保期限在满足最低要求的基础上，每延长一年加2分，最高得10分。</w:t>
            </w:r>
          </w:p>
        </w:tc>
      </w:tr>
    </w:tbl>
    <w:p>
      <w:pPr>
        <w:spacing w:line="360" w:lineRule="auto"/>
        <w:ind w:firstLine="560" w:firstLineChars="200"/>
        <w:rPr>
          <w:rFonts w:ascii="仿宋_GB2312" w:eastAsia="仿宋_GB2312"/>
          <w:sz w:val="28"/>
          <w:szCs w:val="28"/>
        </w:rPr>
      </w:pPr>
      <w:r>
        <w:rPr>
          <w:rFonts w:hint="eastAsia" w:ascii="仿宋_GB2312" w:eastAsia="仿宋_GB2312"/>
          <w:sz w:val="28"/>
          <w:szCs w:val="28"/>
        </w:rPr>
        <w:t>4、确定成交供应商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若各投标资料最终报价均超过了项目采购预算，采购人不能支付的，评判活动终止；在推荐确定成交候选供应商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供应商递补。</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在评判结束后，按照评判小组成员推荐的成交候选人顺序确定排序第一的投标资料为成交供应商。如成交供应商拒绝与采购人签订合同，或签订合同后无法履约的，评判小组可以取消该供应商的中标资格，由排在第二的成交候选供应商递补。</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项目中标结果将于2-4个工作日后在集团公司网站上进行公布，供应商可自行登陆查询，不再另行通知。</w:t>
      </w: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widowControl/>
        <w:jc w:val="left"/>
        <w:rPr>
          <w:rFonts w:ascii="仿宋" w:hAnsi="仿宋" w:eastAsia="仿宋"/>
          <w:color w:val="000000"/>
          <w:kern w:val="0"/>
          <w:sz w:val="28"/>
          <w:szCs w:val="28"/>
        </w:rPr>
      </w:pPr>
      <w:r>
        <w:rPr>
          <w:rFonts w:ascii="仿宋" w:hAnsi="仿宋" w:eastAsia="仿宋"/>
          <w:color w:val="000000"/>
          <w:kern w:val="0"/>
          <w:sz w:val="28"/>
          <w:szCs w:val="28"/>
        </w:rPr>
        <w:br w:type="page"/>
      </w:r>
    </w:p>
    <w:p>
      <w:pPr>
        <w:pStyle w:val="3"/>
        <w:spacing w:line="600" w:lineRule="exact"/>
        <w:ind w:firstLine="2650" w:firstLineChars="600"/>
        <w:jc w:val="both"/>
        <w:rPr>
          <w:rFonts w:ascii="仿宋_GB2312"/>
          <w:sz w:val="28"/>
          <w:szCs w:val="28"/>
        </w:rPr>
      </w:pPr>
      <w:r>
        <w:rPr>
          <w:rFonts w:hint="eastAsia"/>
        </w:rPr>
        <w:t>第三章 采购需求</w:t>
      </w:r>
      <w:bookmarkStart w:id="6" w:name="_Toc399769533"/>
    </w:p>
    <w:p>
      <w:pPr>
        <w:pStyle w:val="4"/>
        <w:spacing w:line="600" w:lineRule="exact"/>
      </w:pPr>
      <w:r>
        <w:rPr>
          <w:rFonts w:hint="eastAsia"/>
        </w:rPr>
        <w:t>一、内容</w:t>
      </w:r>
      <w:bookmarkEnd w:id="6"/>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3、采购内容：</w:t>
      </w:r>
      <w:r>
        <w:rPr>
          <w:rFonts w:hint="eastAsia" w:ascii="仿宋_GB2312" w:eastAsia="仿宋_GB2312"/>
          <w:sz w:val="28"/>
          <w:szCs w:val="28"/>
        </w:rPr>
        <w:t>双路直流</w:t>
      </w:r>
      <w:r>
        <w:rPr>
          <w:rFonts w:hint="eastAsia" w:ascii="仿宋_GB2312" w:eastAsia="仿宋_GB2312"/>
          <w:sz w:val="28"/>
          <w:szCs w:val="28"/>
          <w:lang w:eastAsia="zh-CN"/>
        </w:rPr>
        <w:t>飞机电源车</w:t>
      </w:r>
      <w:r>
        <w:rPr>
          <w:rFonts w:hint="eastAsia" w:ascii="仿宋_GB2312" w:eastAsia="仿宋_GB2312"/>
          <w:sz w:val="28"/>
          <w:szCs w:val="28"/>
          <w:lang w:val="en-US" w:eastAsia="zh-CN"/>
        </w:rPr>
        <w:t>1台</w:t>
      </w:r>
    </w:p>
    <w:p>
      <w:pPr>
        <w:numPr>
          <w:ilvl w:val="0"/>
          <w:numId w:val="3"/>
        </w:num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项目预算：43万元</w:t>
      </w:r>
    </w:p>
    <w:p>
      <w:pPr>
        <w:numPr>
          <w:ilvl w:val="0"/>
          <w:numId w:val="3"/>
        </w:num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质保期：验收合格后2年</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6、交货期：合同签订后1</w:t>
      </w:r>
      <w:r>
        <w:rPr>
          <w:rFonts w:ascii="仿宋" w:hAnsi="仿宋" w:eastAsia="仿宋"/>
          <w:color w:val="000000"/>
          <w:sz w:val="28"/>
          <w:szCs w:val="28"/>
        </w:rPr>
        <w:t>0</w:t>
      </w:r>
      <w:r>
        <w:rPr>
          <w:rFonts w:hint="eastAsia" w:ascii="仿宋" w:hAnsi="仿宋" w:eastAsia="仿宋"/>
          <w:color w:val="000000"/>
          <w:sz w:val="28"/>
          <w:szCs w:val="28"/>
        </w:rPr>
        <w:t>日历日内供货。</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7、付款方式：无预付款，采购人验收合格后付合同金额的</w:t>
      </w:r>
      <w:r>
        <w:rPr>
          <w:rFonts w:hint="eastAsia" w:ascii="仿宋" w:hAnsi="仿宋" w:eastAsia="仿宋"/>
          <w:color w:val="000000"/>
          <w:sz w:val="28"/>
          <w:szCs w:val="28"/>
          <w:lang w:val="en-US" w:eastAsia="zh-CN"/>
        </w:rPr>
        <w:t>9</w:t>
      </w:r>
      <w:r>
        <w:rPr>
          <w:rFonts w:hint="eastAsia" w:ascii="仿宋" w:hAnsi="仿宋" w:eastAsia="仿宋"/>
          <w:color w:val="000000"/>
          <w:sz w:val="28"/>
          <w:szCs w:val="28"/>
        </w:rPr>
        <w:t>5%，质保期满无其他问题付</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w:t>
      </w:r>
    </w:p>
    <w:p>
      <w:pPr>
        <w:pStyle w:val="7"/>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8、交货地点：乌审旗嘎鲁图通用机场。</w:t>
      </w:r>
      <w:r>
        <w:rPr>
          <w:rFonts w:hint="eastAsia" w:ascii="仿宋" w:hAnsi="仿宋" w:eastAsia="仿宋" w:cs="仿宋"/>
          <w:color w:val="000000"/>
          <w:sz w:val="28"/>
          <w:szCs w:val="28"/>
          <w:shd w:val="clear" w:color="auto" w:fill="FFFFFF"/>
        </w:rPr>
        <w:t>车辆运输过程中的一切费用由供应商自理。</w:t>
      </w:r>
    </w:p>
    <w:p>
      <w:pPr>
        <w:pStyle w:val="7"/>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9、所有产品需为全新正品。</w:t>
      </w:r>
    </w:p>
    <w:p>
      <w:pPr>
        <w:pStyle w:val="2"/>
      </w:pPr>
      <w:r>
        <w:br w:type="page"/>
      </w:r>
    </w:p>
    <w:p>
      <w:pPr>
        <w:pStyle w:val="4"/>
        <w:spacing w:line="600" w:lineRule="exact"/>
        <w:rPr>
          <w:rFonts w:hint="eastAsia"/>
        </w:rPr>
      </w:pPr>
      <w:r>
        <w:rPr>
          <w:rFonts w:hint="eastAsia"/>
        </w:rPr>
        <w:t>二、技术参数产品标准</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飞机地面电源机组（内燃式车载）符合以下标准的要求：</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ISO 6858－2017（E） 机场  地面支持电源  一般要求</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GJB 572A－2006  飞机地面电源供电特性及一般要求</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GJB 1910－94  飞机地面电源车通用规范</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MIL－STD－704E  飞机电源特性</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HB 5854－84  飞机供电特性及对用电设备的要求</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MH/T 6019－2014  飞机地面电源机组</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Q/1002WGT 003－2015  飞机地面电源机组</w:t>
      </w:r>
    </w:p>
    <w:p>
      <w:pPr>
        <w:spacing w:line="600" w:lineRule="exact"/>
        <w:ind w:firstLine="560" w:firstLineChars="200"/>
        <w:rPr>
          <w:rFonts w:hint="eastAsia" w:ascii="仿宋_GB2312" w:eastAsia="仿宋_GB2312"/>
          <w:sz w:val="28"/>
          <w:szCs w:val="28"/>
        </w:rPr>
      </w:pP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基本要求</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电源在下列条件下应能输出规定的功率：</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海拔高度：不超过4000m；</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环境温度：－30℃—＋50℃；</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电源: 柴油发动机驱动的交流电源车，输出频率为：400HZ；</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适用机型：B737、B747、B757、B767、B777、B146、TU154、MD-82、MD-11、A300、A310、A320、A330、A340、等所有交流启动飞机和Y7、冲8、多尼尔等直流启动飞机。</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技术参数</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1、 交流系统</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额定容量（KVA）：≥100</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额定电压（V）：115/200，</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相电压：115V，线电压：200V</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额定频率（Hz）：400（中频）</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工作方式：在规定条件下，应能以额定功率或规定功率连续运行12小时（其中包括10%过载1小时）</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2、直流系统</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额定功率：≥22.4KW</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额定电压：≥28.5V</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额定电流：≥800A</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3、电源保护功能</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（1）过压保护</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当电压高于MH/T 6019－2014时，延时2--4秒，自动切断电源与飞机电气系统的联系，过压指示灯亮。</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欠压保护</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当相电压低于MH/T 6019－2014时，自动切断电源向飞机供电，欠压指示工作。；</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（3）过频保护</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当电源频率高于 420 Hz时，延时3秒内，自动切断电源与飞机电气系统的联系。</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（4）欠频保护</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当电源频率低于380Hz时，延时3秒内，自动切断电源与飞机系统的联系。</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（5）过载保护</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当过载125%，在5min内断开输出。</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（6）直流电压保护</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当电压高于33V时，经延时，自动切断电源与飞机系统的联系。</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（7）应急保护：设有手动紧急停机按钮。</w:t>
      </w:r>
    </w:p>
    <w:p>
      <w:pPr>
        <w:spacing w:line="60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随车配件 </w:t>
      </w:r>
    </w:p>
    <w:tbl>
      <w:tblPr>
        <w:tblStyle w:val="18"/>
        <w:tblW w:w="929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41"/>
        <w:gridCol w:w="3419"/>
        <w:gridCol w:w="1184"/>
        <w:gridCol w:w="1155"/>
        <w:gridCol w:w="21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序号</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名     称</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编 号</w:t>
            </w: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数 量</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1</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随机资料</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1.1</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汽车随机文件及备附件</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1套</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1.2</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柴油机随机文件及备附件</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1套</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1.3</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发电机随机文件及备附件</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1套</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1.4</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航空地面电源使用说明书</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1本</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1.5</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航空地面电源合格证</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1页</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2</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专用工具</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底盘自带</w:t>
            </w: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1套</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1套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3</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备品备件</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3.1</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双尾灯泡</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2个</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lang w:val="en-US" w:eastAsia="zh-CN"/>
              </w:rPr>
            </w:pPr>
            <w:r>
              <w:rPr>
                <w:rFonts w:hint="eastAsia" w:ascii="仿宋_GB2312" w:eastAsia="仿宋_GB2312"/>
                <w:sz w:val="28"/>
                <w:szCs w:val="28"/>
              </w:rPr>
              <w:t>3.</w:t>
            </w:r>
            <w:r>
              <w:rPr>
                <w:rFonts w:hint="eastAsia" w:ascii="仿宋_GB2312" w:eastAsia="仿宋_GB2312"/>
                <w:sz w:val="28"/>
                <w:szCs w:val="28"/>
                <w:lang w:val="en-US" w:eastAsia="zh-CN"/>
              </w:rPr>
              <w:t>2</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电源车专用整车苫布（帆布）</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1套</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4</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机场车身标志标识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1套</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jc w:val="both"/>
              <w:rPr>
                <w:rFonts w:hint="eastAsia" w:ascii="仿宋_GB2312" w:eastAsia="仿宋_GB2312"/>
                <w:sz w:val="28"/>
                <w:szCs w:val="28"/>
              </w:rPr>
            </w:pPr>
            <w:r>
              <w:rPr>
                <w:rFonts w:hint="eastAsia" w:ascii="仿宋_GB2312" w:eastAsia="仿宋_GB2312"/>
                <w:sz w:val="28"/>
                <w:szCs w:val="28"/>
              </w:rPr>
              <w:t>出厂前喷涂完毕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trPr>
        <w:tc>
          <w:tcPr>
            <w:tcW w:w="1441"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5</w:t>
            </w:r>
          </w:p>
        </w:tc>
        <w:tc>
          <w:tcPr>
            <w:tcW w:w="3419"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r>
              <w:rPr>
                <w:rFonts w:hint="eastAsia" w:ascii="仿宋_GB2312" w:eastAsia="仿宋_GB2312"/>
                <w:sz w:val="28"/>
                <w:szCs w:val="28"/>
              </w:rPr>
              <w:t>消防装置：灭火器及安放支架</w:t>
            </w:r>
          </w:p>
        </w:tc>
        <w:tc>
          <w:tcPr>
            <w:tcW w:w="1184"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hint="eastAsia" w:ascii="仿宋_GB2312" w:eastAsia="仿宋_GB2312"/>
                <w:sz w:val="28"/>
                <w:szCs w:val="28"/>
              </w:rPr>
            </w:pPr>
            <w:r>
              <w:rPr>
                <w:rFonts w:hint="eastAsia" w:ascii="仿宋_GB2312" w:eastAsia="仿宋_GB2312"/>
                <w:sz w:val="28"/>
                <w:szCs w:val="28"/>
              </w:rPr>
              <w:t>1套</w:t>
            </w:r>
          </w:p>
        </w:tc>
        <w:tc>
          <w:tcPr>
            <w:tcW w:w="2100" w:type="dxa"/>
            <w:tcBorders>
              <w:top w:val="single" w:color="auto" w:sz="4" w:space="0"/>
              <w:left w:val="single" w:color="auto" w:sz="4" w:space="0"/>
              <w:bottom w:val="single" w:color="auto" w:sz="4" w:space="0"/>
              <w:right w:val="single" w:color="auto" w:sz="4" w:space="0"/>
            </w:tcBorders>
            <w:vAlign w:val="center"/>
          </w:tcPr>
          <w:p>
            <w:pPr>
              <w:spacing w:line="600" w:lineRule="exact"/>
              <w:ind w:firstLine="560" w:firstLineChars="200"/>
              <w:jc w:val="center"/>
              <w:rPr>
                <w:rFonts w:hint="eastAsia" w:ascii="仿宋_GB2312" w:eastAsia="仿宋_GB2312"/>
                <w:sz w:val="28"/>
                <w:szCs w:val="28"/>
              </w:rPr>
            </w:pPr>
          </w:p>
        </w:tc>
      </w:tr>
    </w:tbl>
    <w:p>
      <w:pPr>
        <w:pStyle w:val="4"/>
        <w:spacing w:line="600" w:lineRule="exact"/>
      </w:pPr>
      <w:r>
        <w:rPr>
          <w:rFonts w:hint="eastAsia"/>
        </w:rPr>
        <w:t>三、采购要求</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1、必须是符合国家标准的合格产品。</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2、必须是符合品名、型号、规格、数量的产品。</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3、车辆必须是全新的，并完全符合生产厂所规定的质量，性能标准及国家有关。</w:t>
      </w:r>
    </w:p>
    <w:p>
      <w:pPr>
        <w:spacing w:line="600" w:lineRule="exact"/>
        <w:ind w:firstLine="560" w:firstLineChars="200"/>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、协助采购方办理验收相关手续。</w:t>
      </w:r>
    </w:p>
    <w:p>
      <w:pPr>
        <w:spacing w:line="600" w:lineRule="exact"/>
        <w:ind w:firstLine="560" w:firstLineChars="200"/>
        <w:rPr>
          <w:rFonts w:ascii="仿宋" w:hAnsi="仿宋" w:eastAsia="仿宋"/>
          <w:color w:val="000000"/>
          <w:sz w:val="28"/>
          <w:szCs w:val="28"/>
        </w:rPr>
      </w:pPr>
      <w:r>
        <w:rPr>
          <w:rFonts w:ascii="仿宋" w:hAnsi="仿宋" w:eastAsia="仿宋"/>
          <w:color w:val="000000"/>
          <w:sz w:val="28"/>
          <w:szCs w:val="28"/>
        </w:rPr>
        <w:t>5</w:t>
      </w:r>
      <w:r>
        <w:rPr>
          <w:rFonts w:hint="eastAsia" w:ascii="仿宋" w:hAnsi="仿宋" w:eastAsia="仿宋"/>
          <w:color w:val="000000"/>
          <w:sz w:val="28"/>
          <w:szCs w:val="28"/>
        </w:rPr>
        <w:t>、供应商负责将车辆送达采购方指定的地点、运输过程中出现问题，供应商承担全部责任。</w:t>
      </w:r>
    </w:p>
    <w:p>
      <w:pPr>
        <w:pStyle w:val="2"/>
      </w:pPr>
      <w:r>
        <w:br w:type="page"/>
      </w:r>
    </w:p>
    <w:p>
      <w:pPr>
        <w:ind w:firstLine="1325" w:firstLineChars="300"/>
        <w:rPr>
          <w:sz w:val="44"/>
          <w:szCs w:val="44"/>
        </w:rPr>
      </w:pPr>
      <w:r>
        <w:rPr>
          <w:rFonts w:hint="eastAsia"/>
          <w:b/>
          <w:bCs/>
          <w:sz w:val="44"/>
          <w:szCs w:val="44"/>
        </w:rPr>
        <w:t>第四章 响应文件格式与要求</w:t>
      </w:r>
    </w:p>
    <w:p>
      <w:pPr>
        <w:jc w:val="center"/>
        <w:rPr>
          <w:sz w:val="52"/>
          <w:szCs w:val="52"/>
        </w:rPr>
      </w:pPr>
    </w:p>
    <w:p>
      <w:pPr>
        <w:jc w:val="center"/>
        <w:rPr>
          <w:sz w:val="52"/>
          <w:szCs w:val="52"/>
        </w:rPr>
      </w:pPr>
    </w:p>
    <w:p>
      <w:pPr>
        <w:jc w:val="center"/>
        <w:rPr>
          <w:sz w:val="48"/>
          <w:szCs w:val="48"/>
        </w:rPr>
      </w:pPr>
      <w:r>
        <w:rPr>
          <w:rFonts w:hint="eastAsia"/>
          <w:sz w:val="48"/>
          <w:szCs w:val="48"/>
        </w:rPr>
        <w:t>竞争性磋商响应文件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供应商名称：</w:t>
      </w: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p>
    <w:p>
      <w:pPr>
        <w:jc w:val="center"/>
        <w:rPr>
          <w:sz w:val="44"/>
          <w:szCs w:val="44"/>
        </w:rPr>
      </w:pPr>
      <w:r>
        <w:rPr>
          <w:rFonts w:hint="eastAsia"/>
          <w:sz w:val="44"/>
          <w:szCs w:val="44"/>
        </w:rPr>
        <w:t>目录</w:t>
      </w: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widowControl/>
        <w:jc w:val="left"/>
        <w:rPr>
          <w:b/>
          <w:bCs/>
          <w:sz w:val="30"/>
          <w:szCs w:val="30"/>
        </w:rPr>
      </w:pPr>
      <w:r>
        <w:rPr>
          <w:b/>
          <w:bCs/>
          <w:sz w:val="30"/>
          <w:szCs w:val="30"/>
        </w:rPr>
        <w:br w:type="page"/>
      </w:r>
    </w:p>
    <w:p>
      <w:pPr>
        <w:rPr>
          <w:sz w:val="44"/>
          <w:szCs w:val="44"/>
        </w:rPr>
      </w:pPr>
      <w:r>
        <w:rPr>
          <w:rFonts w:hint="eastAsia"/>
          <w:b/>
          <w:bCs/>
          <w:sz w:val="30"/>
          <w:szCs w:val="30"/>
        </w:rPr>
        <w:t>格式一               （一）</w:t>
      </w:r>
      <w:r>
        <w:rPr>
          <w:rFonts w:hint="eastAsia"/>
          <w:sz w:val="44"/>
          <w:szCs w:val="44"/>
        </w:rPr>
        <w:t>竞标承诺书</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乌审旗嘎鲁图通用机场有限公司：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rPr>
        <w:t xml:space="preserve"> CG/</w:t>
      </w:r>
      <w:r>
        <w:rPr>
          <w:rFonts w:hint="eastAsia" w:ascii="仿宋_GB2312" w:hAnsi="宋体" w:eastAsia="仿宋_GB2312"/>
          <w:sz w:val="28"/>
          <w:szCs w:val="28"/>
        </w:rPr>
        <w:t>WSQGS</w:t>
      </w:r>
      <w:r>
        <w:rPr>
          <w:rFonts w:ascii="仿宋_GB2312" w:hAnsi="宋体" w:eastAsia="仿宋_GB2312"/>
          <w:sz w:val="28"/>
          <w:szCs w:val="28"/>
        </w:rPr>
        <w:t>-</w:t>
      </w:r>
      <w:r>
        <w:rPr>
          <w:rFonts w:hint="eastAsia" w:ascii="仿宋_GB2312" w:hAnsi="宋体" w:eastAsia="仿宋_GB2312"/>
          <w:sz w:val="28"/>
          <w:szCs w:val="28"/>
        </w:rPr>
        <w:t>22</w:t>
      </w:r>
      <w:r>
        <w:rPr>
          <w:rFonts w:ascii="仿宋_GB2312" w:hAnsi="宋体" w:eastAsia="仿宋_GB2312"/>
          <w:sz w:val="28"/>
          <w:szCs w:val="28"/>
        </w:rPr>
        <w:t>-00</w:t>
      </w:r>
      <w:r>
        <w:rPr>
          <w:rFonts w:hint="eastAsia" w:ascii="仿宋_GB2312" w:hAnsi="宋体" w:eastAsia="仿宋_GB2312"/>
          <w:sz w:val="28"/>
          <w:szCs w:val="28"/>
        </w:rPr>
        <w:t>6</w:t>
      </w:r>
      <w:r>
        <w:rPr>
          <w:rFonts w:ascii="仿宋_GB2312" w:hAnsi="宋体" w:eastAsia="仿宋_GB2312"/>
          <w:sz w:val="28"/>
          <w:szCs w:val="28"/>
        </w:rPr>
        <w:t>-</w:t>
      </w:r>
      <w:r>
        <w:rPr>
          <w:rFonts w:hint="eastAsia" w:ascii="仿宋_GB2312" w:hAnsi="宋体" w:eastAsia="仿宋_GB2312"/>
          <w:sz w:val="28"/>
          <w:szCs w:val="28"/>
        </w:rPr>
        <w:t>N的电源车采购项目</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二次</w:t>
      </w:r>
      <w:r>
        <w:rPr>
          <w:rFonts w:hint="eastAsia" w:ascii="仿宋_GB2312" w:hAnsi="宋体" w:eastAsia="仿宋_GB2312"/>
          <w:sz w:val="28"/>
          <w:szCs w:val="28"/>
          <w:lang w:eastAsia="zh-CN"/>
        </w:rPr>
        <w:t>）</w:t>
      </w:r>
      <w:r>
        <w:rPr>
          <w:rFonts w:hint="eastAsia" w:ascii="仿宋_GB2312" w:hAnsi="宋体" w:eastAsia="仿宋_GB2312"/>
          <w:sz w:val="28"/>
          <w:szCs w:val="28"/>
        </w:rPr>
        <w:t>竞争性磋商文件要求，经我公司认真研究竞标须知、售后服务方案、资质要求和其它有关要求后，我方愿按上述合同条款、售后服务方案、资质要求以人民币（大写）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竞争性磋商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u w:val="single"/>
        </w:rPr>
      </w:pPr>
      <w:r>
        <w:rPr>
          <w:rFonts w:hint="eastAsia" w:ascii="仿宋_GB2312" w:hAnsi="宋体" w:eastAsia="仿宋_GB2312"/>
          <w:sz w:val="28"/>
          <w:szCs w:val="28"/>
        </w:rPr>
        <w:t>供应商名称：</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详细地址：</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电子函件：</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供应商开户银行：</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供应商法人签字：</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供应商法人授权代表签字：</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u w:val="single"/>
        </w:rPr>
      </w:pPr>
      <w:r>
        <w:rPr>
          <w:rFonts w:hint="eastAsia" w:ascii="仿宋_GB2312" w:hAnsi="宋体" w:eastAsia="仿宋_GB2312"/>
          <w:sz w:val="28"/>
          <w:szCs w:val="28"/>
        </w:rPr>
        <w:t>供应商名称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rPr>
          <w:b/>
          <w:bCs/>
          <w:sz w:val="30"/>
          <w:szCs w:val="30"/>
        </w:rPr>
      </w:pPr>
      <w:r>
        <w:rPr>
          <w:rFonts w:hint="eastAsia"/>
          <w:b/>
          <w:bCs/>
          <w:sz w:val="30"/>
          <w:szCs w:val="30"/>
        </w:rPr>
        <w:t>格式二              （二）法定代表人授权委托书</w:t>
      </w:r>
    </w:p>
    <w:p>
      <w:pPr>
        <w:spacing w:line="480" w:lineRule="exact"/>
        <w:ind w:firstLine="840" w:firstLineChars="300"/>
        <w:rPr>
          <w:sz w:val="28"/>
        </w:rPr>
      </w:pPr>
    </w:p>
    <w:p>
      <w:pPr>
        <w:wordWrap w:val="0"/>
        <w:spacing w:line="450" w:lineRule="exact"/>
        <w:ind w:firstLine="560" w:firstLineChars="20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u w:val="single"/>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u w:val="single"/>
        </w:rPr>
        <w:t xml:space="preserve">                 </w:t>
      </w:r>
      <w:r>
        <w:rPr>
          <w:rFonts w:hint="eastAsia" w:ascii="仿宋_GB2312" w:hAnsi="宋体" w:eastAsia="仿宋_GB2312"/>
          <w:sz w:val="28"/>
          <w:szCs w:val="28"/>
        </w:rPr>
        <w:t>采购活动（项目编号：</w:t>
      </w:r>
      <w:r>
        <w:rPr>
          <w:rFonts w:ascii="仿宋_GB2312" w:hAnsi="宋体" w:eastAsia="仿宋_GB2312"/>
          <w:sz w:val="28"/>
          <w:szCs w:val="28"/>
          <w:u w:val="single"/>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616" w:firstLineChars="2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61312"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1312;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60288;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供应商：</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rFonts w:ascii="仿宋_GB2312" w:hAnsi="宋体" w:eastAsia="仿宋_GB2312"/>
          <w:sz w:val="28"/>
          <w:szCs w:val="28"/>
        </w:rPr>
      </w:pPr>
      <w:r>
        <w:rPr>
          <w:rFonts w:ascii="仿宋_GB2312" w:hAnsi="宋体" w:eastAsia="仿宋_GB2312"/>
          <w:sz w:val="28"/>
          <w:szCs w:val="28"/>
        </w:rPr>
        <w:br w:type="page"/>
      </w:r>
    </w:p>
    <w:p>
      <w:pPr>
        <w:rPr>
          <w:b/>
          <w:bCs/>
          <w:sz w:val="30"/>
          <w:szCs w:val="30"/>
        </w:rPr>
      </w:pPr>
      <w:r>
        <w:rPr>
          <w:rFonts w:hint="eastAsia"/>
          <w:b/>
          <w:bCs/>
          <w:sz w:val="30"/>
          <w:szCs w:val="30"/>
        </w:rPr>
        <w:t>格式三            （三）投标报价表</w:t>
      </w:r>
    </w:p>
    <w:p>
      <w:pPr>
        <w:rPr>
          <w:rFonts w:ascii="仿宋" w:hAnsi="仿宋" w:eastAsia="仿宋"/>
          <w:sz w:val="32"/>
          <w:szCs w:val="32"/>
          <w:u w:val="single"/>
        </w:rPr>
      </w:pPr>
      <w:r>
        <w:rPr>
          <w:rFonts w:hint="eastAsia" w:ascii="仿宋" w:hAnsi="仿宋" w:eastAsia="仿宋"/>
          <w:sz w:val="32"/>
          <w:szCs w:val="32"/>
        </w:rPr>
        <w:t>项目名称：</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项目编号：</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联系人：</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联系电话：</w:t>
      </w:r>
      <w:r>
        <w:rPr>
          <w:rFonts w:hint="eastAsia" w:ascii="仿宋" w:hAnsi="仿宋" w:eastAsia="仿宋"/>
          <w:sz w:val="32"/>
          <w:szCs w:val="32"/>
          <w:u w:val="single"/>
        </w:rPr>
        <w:t xml:space="preserve"> </w:t>
      </w:r>
      <w:r>
        <w:rPr>
          <w:rFonts w:ascii="仿宋" w:hAnsi="仿宋" w:eastAsia="仿宋"/>
          <w:sz w:val="32"/>
          <w:szCs w:val="32"/>
          <w:u w:val="single"/>
        </w:rPr>
        <w:t xml:space="preserve">                 </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1812"/>
        <w:gridCol w:w="927"/>
        <w:gridCol w:w="1408"/>
        <w:gridCol w:w="1408"/>
        <w:gridCol w:w="1153"/>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418" w:type="pct"/>
            <w:vAlign w:val="center"/>
          </w:tcPr>
          <w:p>
            <w:pPr>
              <w:jc w:val="center"/>
              <w:rPr>
                <w:rFonts w:ascii="宋体"/>
                <w:szCs w:val="28"/>
              </w:rPr>
            </w:pPr>
            <w:r>
              <w:rPr>
                <w:rFonts w:hint="eastAsia" w:ascii="宋体" w:hAnsi="宋体"/>
                <w:szCs w:val="28"/>
              </w:rPr>
              <w:t>序号</w:t>
            </w:r>
          </w:p>
        </w:tc>
        <w:tc>
          <w:tcPr>
            <w:tcW w:w="981" w:type="pct"/>
            <w:vAlign w:val="center"/>
          </w:tcPr>
          <w:p>
            <w:pPr>
              <w:jc w:val="center"/>
              <w:rPr>
                <w:rFonts w:ascii="宋体"/>
                <w:szCs w:val="28"/>
              </w:rPr>
            </w:pPr>
            <w:r>
              <w:rPr>
                <w:rFonts w:hint="eastAsia" w:ascii="宋体" w:hAnsi="宋体"/>
                <w:szCs w:val="28"/>
              </w:rPr>
              <w:t>货物名称</w:t>
            </w:r>
          </w:p>
        </w:tc>
        <w:tc>
          <w:tcPr>
            <w:tcW w:w="502" w:type="pct"/>
            <w:vAlign w:val="center"/>
          </w:tcPr>
          <w:p>
            <w:pPr>
              <w:jc w:val="center"/>
              <w:rPr>
                <w:rFonts w:ascii="宋体"/>
                <w:szCs w:val="28"/>
              </w:rPr>
            </w:pPr>
            <w:r>
              <w:rPr>
                <w:rFonts w:hint="eastAsia" w:ascii="宋体" w:hAnsi="宋体"/>
                <w:szCs w:val="28"/>
              </w:rPr>
              <w:t>数量</w:t>
            </w:r>
          </w:p>
        </w:tc>
        <w:tc>
          <w:tcPr>
            <w:tcW w:w="762" w:type="pct"/>
            <w:vAlign w:val="center"/>
          </w:tcPr>
          <w:p>
            <w:pPr>
              <w:rPr>
                <w:rFonts w:hint="eastAsia" w:ascii="宋体" w:eastAsia="宋体"/>
                <w:szCs w:val="28"/>
                <w:lang w:eastAsia="zh-CN"/>
              </w:rPr>
            </w:pPr>
            <w:r>
              <w:rPr>
                <w:rFonts w:hint="eastAsia" w:ascii="宋体"/>
                <w:szCs w:val="28"/>
                <w:lang w:eastAsia="zh-CN"/>
              </w:rPr>
              <w:t>品牌型号</w:t>
            </w:r>
          </w:p>
        </w:tc>
        <w:tc>
          <w:tcPr>
            <w:tcW w:w="762" w:type="pct"/>
            <w:vAlign w:val="center"/>
          </w:tcPr>
          <w:p>
            <w:pPr>
              <w:rPr>
                <w:rFonts w:ascii="宋体"/>
                <w:szCs w:val="28"/>
              </w:rPr>
            </w:pPr>
            <w:r>
              <w:rPr>
                <w:rFonts w:hint="eastAsia" w:ascii="宋体"/>
                <w:szCs w:val="28"/>
                <w:lang w:eastAsia="zh-CN"/>
              </w:rPr>
              <w:t>含税</w:t>
            </w:r>
            <w:r>
              <w:rPr>
                <w:rFonts w:hint="eastAsia" w:ascii="宋体"/>
                <w:szCs w:val="28"/>
              </w:rPr>
              <w:t>单价（元）</w:t>
            </w:r>
          </w:p>
        </w:tc>
        <w:tc>
          <w:tcPr>
            <w:tcW w:w="624" w:type="pct"/>
            <w:vAlign w:val="center"/>
          </w:tcPr>
          <w:p>
            <w:pPr>
              <w:jc w:val="center"/>
              <w:rPr>
                <w:rFonts w:ascii="宋体"/>
                <w:szCs w:val="28"/>
              </w:rPr>
            </w:pPr>
            <w:r>
              <w:rPr>
                <w:rFonts w:hint="eastAsia" w:ascii="宋体"/>
                <w:szCs w:val="28"/>
              </w:rPr>
              <w:t>税率</w:t>
            </w:r>
          </w:p>
        </w:tc>
        <w:tc>
          <w:tcPr>
            <w:tcW w:w="948" w:type="pct"/>
            <w:vAlign w:val="center"/>
          </w:tcPr>
          <w:p>
            <w:pPr>
              <w:jc w:val="center"/>
              <w:rPr>
                <w:rFonts w:hint="eastAsia" w:ascii="宋体" w:eastAsia="宋体"/>
                <w:szCs w:val="28"/>
                <w:lang w:eastAsia="zh-CN"/>
              </w:rPr>
            </w:pPr>
            <w:r>
              <w:rPr>
                <w:rFonts w:hint="eastAsia" w:ascii="宋体"/>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418" w:type="pct"/>
            <w:vAlign w:val="center"/>
          </w:tcPr>
          <w:p>
            <w:pPr>
              <w:jc w:val="center"/>
              <w:rPr>
                <w:rFonts w:ascii="宋体"/>
                <w:szCs w:val="28"/>
              </w:rPr>
            </w:pPr>
            <w:r>
              <w:rPr>
                <w:rFonts w:ascii="宋体" w:hAnsi="宋体"/>
                <w:szCs w:val="28"/>
              </w:rPr>
              <w:t>1</w:t>
            </w:r>
          </w:p>
        </w:tc>
        <w:tc>
          <w:tcPr>
            <w:tcW w:w="981" w:type="pct"/>
            <w:vAlign w:val="center"/>
          </w:tcPr>
          <w:p>
            <w:pPr>
              <w:jc w:val="center"/>
              <w:rPr>
                <w:rFonts w:ascii="宋体"/>
                <w:szCs w:val="28"/>
              </w:rPr>
            </w:pPr>
            <w:r>
              <w:rPr>
                <w:rFonts w:hint="eastAsia" w:ascii="宋体"/>
                <w:szCs w:val="28"/>
              </w:rPr>
              <w:t>电源车</w:t>
            </w:r>
          </w:p>
        </w:tc>
        <w:tc>
          <w:tcPr>
            <w:tcW w:w="502" w:type="pct"/>
            <w:vAlign w:val="center"/>
          </w:tcPr>
          <w:p>
            <w:pPr>
              <w:jc w:val="center"/>
              <w:rPr>
                <w:rFonts w:ascii="宋体"/>
                <w:szCs w:val="28"/>
              </w:rPr>
            </w:pPr>
            <w:r>
              <w:rPr>
                <w:rFonts w:hint="eastAsia" w:ascii="宋体" w:hAnsi="宋体"/>
                <w:szCs w:val="28"/>
              </w:rPr>
              <w:t>1台</w:t>
            </w:r>
          </w:p>
        </w:tc>
        <w:tc>
          <w:tcPr>
            <w:tcW w:w="762" w:type="pct"/>
            <w:vAlign w:val="center"/>
          </w:tcPr>
          <w:p>
            <w:pPr>
              <w:jc w:val="center"/>
              <w:rPr>
                <w:rFonts w:ascii="宋体"/>
                <w:szCs w:val="28"/>
              </w:rPr>
            </w:pPr>
          </w:p>
        </w:tc>
        <w:tc>
          <w:tcPr>
            <w:tcW w:w="762" w:type="pct"/>
            <w:vAlign w:val="center"/>
          </w:tcPr>
          <w:p>
            <w:pPr>
              <w:jc w:val="center"/>
              <w:rPr>
                <w:rFonts w:ascii="宋体"/>
                <w:szCs w:val="28"/>
              </w:rPr>
            </w:pPr>
          </w:p>
        </w:tc>
        <w:tc>
          <w:tcPr>
            <w:tcW w:w="624" w:type="pct"/>
            <w:vAlign w:val="center"/>
          </w:tcPr>
          <w:p>
            <w:pPr>
              <w:jc w:val="center"/>
              <w:rPr>
                <w:rFonts w:ascii="宋体"/>
                <w:szCs w:val="28"/>
              </w:rPr>
            </w:pPr>
          </w:p>
        </w:tc>
        <w:tc>
          <w:tcPr>
            <w:tcW w:w="948" w:type="pct"/>
            <w:vAlign w:val="center"/>
          </w:tcPr>
          <w:p>
            <w:pPr>
              <w:jc w:val="center"/>
              <w:rPr>
                <w:rFonts w:ascii="宋体"/>
                <w:szCs w:val="28"/>
              </w:rPr>
            </w:pPr>
          </w:p>
        </w:tc>
      </w:tr>
    </w:tbl>
    <w:p>
      <w:pPr>
        <w:spacing w:line="560" w:lineRule="exact"/>
        <w:rPr>
          <w:rFonts w:ascii="仿宋" w:hAnsi="仿宋" w:eastAsia="仿宋"/>
          <w:sz w:val="32"/>
          <w:szCs w:val="32"/>
        </w:rPr>
      </w:pPr>
    </w:p>
    <w:p>
      <w:pPr>
        <w:spacing w:line="560" w:lineRule="exact"/>
        <w:ind w:firstLine="6080" w:firstLineChars="1900"/>
        <w:rPr>
          <w:rFonts w:ascii="仿宋" w:hAnsi="仿宋" w:eastAsia="仿宋"/>
          <w:sz w:val="32"/>
          <w:szCs w:val="32"/>
        </w:rPr>
      </w:pPr>
    </w:p>
    <w:p>
      <w:pPr>
        <w:spacing w:line="560" w:lineRule="exact"/>
        <w:jc w:val="right"/>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ascii="仿宋" w:hAnsi="仿宋" w:eastAsia="仿宋"/>
          <w:sz w:val="32"/>
          <w:szCs w:val="32"/>
        </w:rPr>
        <w:t>（公章）</w:t>
      </w:r>
    </w:p>
    <w:p>
      <w:pPr>
        <w:spacing w:line="560" w:lineRule="exact"/>
        <w:jc w:val="right"/>
        <w:rPr>
          <w:rFonts w:ascii="仿宋" w:hAnsi="仿宋" w:eastAsia="仿宋"/>
          <w:b/>
          <w:bCs/>
          <w:color w:val="000000"/>
          <w:sz w:val="32"/>
          <w:szCs w:val="32"/>
        </w:rPr>
      </w:pPr>
      <w:r>
        <w:rPr>
          <w:rFonts w:hint="eastAsia" w:ascii="仿宋" w:hAnsi="仿宋" w:eastAsia="仿宋"/>
          <w:color w:val="000000"/>
          <w:sz w:val="32"/>
          <w:szCs w:val="32"/>
        </w:rPr>
        <w:t>日期：   年  月   日</w:t>
      </w:r>
    </w:p>
    <w:p>
      <w:pPr>
        <w:spacing w:line="560" w:lineRule="exact"/>
        <w:ind w:firstLine="643" w:firstLineChars="200"/>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widowControl/>
        <w:jc w:val="left"/>
        <w:rPr>
          <w:rFonts w:ascii="Times New Roman"/>
          <w:sz w:val="20"/>
        </w:rPr>
      </w:pPr>
      <w:r>
        <w:br w:type="page"/>
      </w:r>
    </w:p>
    <w:p>
      <w:pPr>
        <w:spacing w:line="560" w:lineRule="exact"/>
        <w:rPr>
          <w:rFonts w:ascii="仿宋" w:hAnsi="仿宋" w:eastAsia="仿宋"/>
          <w:b/>
          <w:bCs/>
          <w:color w:val="000000"/>
          <w:sz w:val="32"/>
          <w:szCs w:val="32"/>
        </w:rPr>
      </w:pPr>
      <w:r>
        <w:rPr>
          <w:rFonts w:hint="eastAsia" w:ascii="仿宋" w:hAnsi="仿宋" w:eastAsia="仿宋"/>
          <w:b/>
          <w:bCs/>
          <w:color w:val="000000"/>
          <w:sz w:val="32"/>
          <w:szCs w:val="32"/>
        </w:rPr>
        <w:t>（四）售后服务承诺（格式自拟）</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（1）</w:t>
      </w:r>
      <w:r>
        <w:rPr>
          <w:rFonts w:hint="eastAsia" w:ascii="仿宋" w:hAnsi="仿宋" w:eastAsia="仿宋" w:cs="仿宋"/>
          <w:color w:val="000000"/>
          <w:sz w:val="28"/>
          <w:szCs w:val="28"/>
        </w:rPr>
        <w:t>售后服务</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（2）</w:t>
      </w:r>
      <w:r>
        <w:rPr>
          <w:rFonts w:hint="eastAsia" w:ascii="仿宋" w:hAnsi="仿宋" w:eastAsia="仿宋" w:cs="仿宋"/>
          <w:color w:val="000000"/>
          <w:sz w:val="28"/>
          <w:szCs w:val="28"/>
        </w:rPr>
        <w:t>增值服务</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（3）</w:t>
      </w:r>
      <w:r>
        <w:rPr>
          <w:rFonts w:hint="eastAsia" w:ascii="仿宋" w:hAnsi="仿宋" w:eastAsia="仿宋" w:cs="仿宋"/>
          <w:color w:val="000000"/>
          <w:sz w:val="28"/>
          <w:szCs w:val="28"/>
        </w:rPr>
        <w:t>质保期限</w:t>
      </w: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r>
        <w:rPr>
          <w:rFonts w:hint="eastAsia" w:ascii="仿宋" w:hAnsi="仿宋" w:eastAsia="仿宋"/>
          <w:b/>
          <w:bCs/>
          <w:color w:val="000000"/>
          <w:sz w:val="32"/>
          <w:szCs w:val="32"/>
        </w:rPr>
        <w:t>（五）供应商须提供的各类相关证明材料</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（1）资格证明材料（包含三证合一营业执照（副本）复印件、开户许可证或基本户存款信息等）；</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（2）供应商认为需提供的相关证明文件及资料；</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（3）供应商业绩。</w:t>
      </w: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r>
        <w:rPr>
          <w:rFonts w:hint="eastAsia" w:ascii="仿宋" w:hAnsi="仿宋" w:eastAsia="仿宋"/>
          <w:b/>
          <w:bCs/>
          <w:color w:val="000000"/>
          <w:sz w:val="32"/>
          <w:szCs w:val="32"/>
        </w:rPr>
        <w:t>（六）供应商投标承诺书</w:t>
      </w:r>
    </w:p>
    <w:p>
      <w:pPr>
        <w:widowControl/>
        <w:ind w:firstLine="904" w:firstLineChars="300"/>
        <w:jc w:val="left"/>
        <w:rPr>
          <w:b/>
          <w:bCs/>
          <w:sz w:val="30"/>
          <w:szCs w:val="30"/>
        </w:rPr>
      </w:pPr>
      <w:r>
        <w:rPr>
          <w:rFonts w:hint="eastAsia"/>
          <w:b/>
          <w:bCs/>
          <w:sz w:val="30"/>
          <w:szCs w:val="30"/>
        </w:rPr>
        <w:t xml:space="preserve">              供应商投标承诺书</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XXXX公司：</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本供应商在参与XXXX项目（项目编号：XXXX）中做出如下承诺：</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拥护国家治理政府采购领域商业贿赂工作决策，自觉遏制商业贿赂行为；</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不向采购人、招标代理机构行贿或者提供不正当利益；</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严格执行采购文件，在采购过程中不与采购人私下协商谈判；</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不与采购人、招标代理机构或者其他供应商恶意串通；</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保证公平竞争，不提供虚假材料谋取成交资格；</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自觉维护采购市场秩序，不以不正当手段诋毁和排挤其他供应商；</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按照采购内容和标准，在规定时限内与采购人签订采购合同；</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成交后严格履行合同，不与采购人私自更改合同或降低合同标准，损公肥私。</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如违背上述承诺，自愿按有关法律、法规、规章和制度的规定接受处罚。</w:t>
      </w:r>
    </w:p>
    <w:p>
      <w:pPr>
        <w:wordWrap w:val="0"/>
        <w:jc w:val="righ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供应商法定代表人（或法定代表授权人）签字：</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p>
    <w:p>
      <w:pPr>
        <w:wordWrap w:val="0"/>
        <w:jc w:val="righ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供应商（公章）：</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p>
    <w:p>
      <w:pPr>
        <w:jc w:val="right"/>
        <w:rPr>
          <w:rFonts w:ascii="仿宋_GB2312" w:hAnsi="仿宋_GB2312" w:eastAsia="仿宋_GB2312" w:cs="仿宋_GB2312"/>
          <w:sz w:val="32"/>
          <w:szCs w:val="32"/>
        </w:rPr>
      </w:pPr>
      <w:r>
        <w:rPr>
          <w:rFonts w:hint="eastAsia" w:ascii="仿宋_GB2312" w:hAnsi="仿宋_GB2312" w:eastAsia="仿宋_GB2312" w:cs="仿宋_GB2312"/>
          <w:sz w:val="28"/>
          <w:szCs w:val="28"/>
        </w:rPr>
        <w:t>年    月    日</w:t>
      </w:r>
    </w:p>
    <w:sectPr>
      <w:footerReference r:id="rId8" w:type="default"/>
      <w:pgSz w:w="11906" w:h="16838"/>
      <w:pgMar w:top="1440" w:right="12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2336;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C9bWZVMgIAAGM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IweZaFjX6wPEJHebxd7gPkTCpHUXol0J14wOylPp33JA73n+cU9fjfsP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7k7artcAAAALAQAADwAAAAAAAAABACAAAAAiAAAAZHJzL2Rvd25yZXYueG1s&#10;UEsBAhQAFAAAAAgAh07iQL1tZlUyAgAAYwQAAA4AAAAAAAAAAQAgAAAAJgEAAGRycy9lMm9Eb2Mu&#10;eG1sUEsFBgAAAAAGAAYAWQEAAMoFA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jc w:val="left"/>
      <w:rPr>
        <w:rFonts w:cs="Arial"/>
        <w:sz w:val="18"/>
      </w:rPr>
    </w:pPr>
    <w:r>
      <w:rPr>
        <w:rFonts w:hint="eastAsia" w:cs="Arial"/>
        <w:sz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 xml:space="preserve">                                                                      乌审旗嘎鲁图通用机场有限公司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jc w:val="left"/>
      <w:rPr>
        <w:rFonts w:cs="Arial"/>
        <w:sz w:val="18"/>
      </w:rPr>
    </w:pPr>
    <w:r>
      <w:rPr>
        <w:rFonts w:hint="eastAsia" w:cs="Arial"/>
        <w:sz w:val="18"/>
      </w:rPr>
      <w:t xml:space="preserve">                                                                        乌审旗嘎鲁图通用机场有限公司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BCFEFF"/>
    <w:multiLevelType w:val="singleLevel"/>
    <w:tmpl w:val="D2BCFEFF"/>
    <w:lvl w:ilvl="0" w:tentative="0">
      <w:start w:val="1"/>
      <w:numFmt w:val="decimal"/>
      <w:lvlText w:val="%1."/>
      <w:lvlJc w:val="left"/>
      <w:pPr>
        <w:tabs>
          <w:tab w:val="left" w:pos="312"/>
        </w:tabs>
      </w:pPr>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4D2BF72F"/>
    <w:multiLevelType w:val="singleLevel"/>
    <w:tmpl w:val="4D2BF72F"/>
    <w:lvl w:ilvl="0" w:tentative="0">
      <w:start w:val="1"/>
      <w:numFmt w:val="chineseCounting"/>
      <w:suff w:val="nothing"/>
      <w:lvlText w:val="%1、"/>
      <w:lvlJc w:val="left"/>
      <w:rPr>
        <w:rFonts w:hint="eastAsia"/>
      </w:rPr>
    </w:lvl>
  </w:abstractNum>
  <w:abstractNum w:abstractNumId="3">
    <w:nsid w:val="71DBCED4"/>
    <w:multiLevelType w:val="singleLevel"/>
    <w:tmpl w:val="71DBCED4"/>
    <w:lvl w:ilvl="0" w:tentative="0">
      <w:start w:val="4"/>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UxYzQyMzVlYjc2OTE5Yzg4MGM1ZDQ3MzFiMWVmMzQifQ=="/>
  </w:docVars>
  <w:rsids>
    <w:rsidRoot w:val="36375E38"/>
    <w:rsid w:val="001C0060"/>
    <w:rsid w:val="00232F0D"/>
    <w:rsid w:val="003E70A6"/>
    <w:rsid w:val="004E07BD"/>
    <w:rsid w:val="00572FE5"/>
    <w:rsid w:val="006A34A4"/>
    <w:rsid w:val="006F23F8"/>
    <w:rsid w:val="00706F15"/>
    <w:rsid w:val="0076624C"/>
    <w:rsid w:val="007D5BF2"/>
    <w:rsid w:val="0087045F"/>
    <w:rsid w:val="008F184A"/>
    <w:rsid w:val="00943AEA"/>
    <w:rsid w:val="0095711B"/>
    <w:rsid w:val="0096119F"/>
    <w:rsid w:val="00981F97"/>
    <w:rsid w:val="009E0447"/>
    <w:rsid w:val="00A220F4"/>
    <w:rsid w:val="00A57221"/>
    <w:rsid w:val="00B7231C"/>
    <w:rsid w:val="00BA5166"/>
    <w:rsid w:val="00BA6A73"/>
    <w:rsid w:val="00BC3A5C"/>
    <w:rsid w:val="00CA083C"/>
    <w:rsid w:val="00E579B1"/>
    <w:rsid w:val="00FB31C4"/>
    <w:rsid w:val="00FC716C"/>
    <w:rsid w:val="04E01BA8"/>
    <w:rsid w:val="06F05590"/>
    <w:rsid w:val="081426E8"/>
    <w:rsid w:val="09F643EA"/>
    <w:rsid w:val="0DC95F18"/>
    <w:rsid w:val="0E43752E"/>
    <w:rsid w:val="0F664178"/>
    <w:rsid w:val="0FCE7BEA"/>
    <w:rsid w:val="100F626E"/>
    <w:rsid w:val="1059382A"/>
    <w:rsid w:val="108207FC"/>
    <w:rsid w:val="141A0FF0"/>
    <w:rsid w:val="153D0C6B"/>
    <w:rsid w:val="15554FA6"/>
    <w:rsid w:val="15C26317"/>
    <w:rsid w:val="174042F8"/>
    <w:rsid w:val="192277FA"/>
    <w:rsid w:val="1A857203"/>
    <w:rsid w:val="1CE666E4"/>
    <w:rsid w:val="1D1A732C"/>
    <w:rsid w:val="1E184051"/>
    <w:rsid w:val="1E535114"/>
    <w:rsid w:val="1EDF4362"/>
    <w:rsid w:val="1F3B066F"/>
    <w:rsid w:val="210F7A6C"/>
    <w:rsid w:val="22C7079D"/>
    <w:rsid w:val="23F67B9C"/>
    <w:rsid w:val="250A52E5"/>
    <w:rsid w:val="25C03A6B"/>
    <w:rsid w:val="28D73A41"/>
    <w:rsid w:val="2936533C"/>
    <w:rsid w:val="294D0521"/>
    <w:rsid w:val="2B6239EC"/>
    <w:rsid w:val="2BF2067D"/>
    <w:rsid w:val="2D1E7978"/>
    <w:rsid w:val="302573DD"/>
    <w:rsid w:val="3047554E"/>
    <w:rsid w:val="310A0849"/>
    <w:rsid w:val="32760C22"/>
    <w:rsid w:val="344928A1"/>
    <w:rsid w:val="355860D4"/>
    <w:rsid w:val="36375E38"/>
    <w:rsid w:val="37441E22"/>
    <w:rsid w:val="39FD4BA7"/>
    <w:rsid w:val="3A2E14F1"/>
    <w:rsid w:val="3AB90028"/>
    <w:rsid w:val="3B224FCE"/>
    <w:rsid w:val="3BC51A5B"/>
    <w:rsid w:val="3C1D676E"/>
    <w:rsid w:val="3C2C2AFC"/>
    <w:rsid w:val="3E254191"/>
    <w:rsid w:val="3E8E47E3"/>
    <w:rsid w:val="3EA869CC"/>
    <w:rsid w:val="3F5B15C6"/>
    <w:rsid w:val="410601E6"/>
    <w:rsid w:val="42B44512"/>
    <w:rsid w:val="440263E1"/>
    <w:rsid w:val="4533414F"/>
    <w:rsid w:val="460C14AE"/>
    <w:rsid w:val="46E611E0"/>
    <w:rsid w:val="475A3F98"/>
    <w:rsid w:val="496D45DB"/>
    <w:rsid w:val="4B68101C"/>
    <w:rsid w:val="51274F20"/>
    <w:rsid w:val="51C0520F"/>
    <w:rsid w:val="53A42DFA"/>
    <w:rsid w:val="542D0778"/>
    <w:rsid w:val="54D015E7"/>
    <w:rsid w:val="568756FD"/>
    <w:rsid w:val="586075CA"/>
    <w:rsid w:val="590F735F"/>
    <w:rsid w:val="5CE14405"/>
    <w:rsid w:val="5D03636F"/>
    <w:rsid w:val="5D090C96"/>
    <w:rsid w:val="5DFF0298"/>
    <w:rsid w:val="5E3B0FF8"/>
    <w:rsid w:val="5E40069D"/>
    <w:rsid w:val="5F891FF4"/>
    <w:rsid w:val="6055752B"/>
    <w:rsid w:val="60D5319C"/>
    <w:rsid w:val="61437FD0"/>
    <w:rsid w:val="61DA2A81"/>
    <w:rsid w:val="61EE4F62"/>
    <w:rsid w:val="63377696"/>
    <w:rsid w:val="641E7BD5"/>
    <w:rsid w:val="659E64BB"/>
    <w:rsid w:val="67C8582E"/>
    <w:rsid w:val="689F0724"/>
    <w:rsid w:val="695D1D70"/>
    <w:rsid w:val="6BBD46F9"/>
    <w:rsid w:val="6C2C469A"/>
    <w:rsid w:val="6CC32C52"/>
    <w:rsid w:val="6D69648B"/>
    <w:rsid w:val="6EB070EA"/>
    <w:rsid w:val="75E551E1"/>
    <w:rsid w:val="763B1DD4"/>
    <w:rsid w:val="785E2E2B"/>
    <w:rsid w:val="78AB7393"/>
    <w:rsid w:val="79F27F2E"/>
    <w:rsid w:val="7BC906AF"/>
    <w:rsid w:val="7C7247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bidi="ar-SA"/>
    </w:rPr>
  </w:style>
  <w:style w:type="paragraph" w:styleId="4">
    <w:name w:val="heading 2"/>
    <w:next w:val="1"/>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bidi="ar-SA"/>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6">
    <w:name w:val="annotation text"/>
    <w:basedOn w:val="1"/>
    <w:link w:val="29"/>
    <w:qFormat/>
    <w:uiPriority w:val="0"/>
    <w:pPr>
      <w:jc w:val="left"/>
    </w:pPr>
  </w:style>
  <w:style w:type="paragraph" w:styleId="7">
    <w:name w:val="Body Text"/>
    <w:basedOn w:val="1"/>
    <w:qFormat/>
    <w:uiPriority w:val="0"/>
    <w:pPr>
      <w:snapToGrid w:val="0"/>
      <w:spacing w:line="440" w:lineRule="exact"/>
    </w:pPr>
    <w:rPr>
      <w:rFonts w:ascii="Times New Roman"/>
      <w:sz w:val="20"/>
    </w:rPr>
  </w:style>
  <w:style w:type="paragraph" w:styleId="8">
    <w:name w:val="Body Text Indent"/>
    <w:basedOn w:val="1"/>
    <w:link w:val="32"/>
    <w:qFormat/>
    <w:uiPriority w:val="0"/>
    <w:pPr>
      <w:spacing w:after="120"/>
      <w:ind w:left="420" w:leftChars="200"/>
    </w:pPr>
  </w:style>
  <w:style w:type="paragraph" w:styleId="9">
    <w:name w:val="Plain Text"/>
    <w:qFormat/>
    <w:uiPriority w:val="0"/>
    <w:pPr>
      <w:widowControl w:val="0"/>
    </w:pPr>
    <w:rPr>
      <w:rFonts w:ascii="宋体" w:hAnsi="Courier New" w:eastAsia="宋体" w:cs="Times New Roman"/>
      <w:sz w:val="21"/>
      <w:szCs w:val="22"/>
      <w:lang w:val="en-US" w:eastAsia="zh-CN" w:bidi="ar-SA"/>
    </w:rPr>
  </w:style>
  <w:style w:type="paragraph" w:styleId="10">
    <w:name w:val="Balloon Text"/>
    <w:basedOn w:val="1"/>
    <w:link w:val="31"/>
    <w:qFormat/>
    <w:uiPriority w:val="0"/>
    <w:rPr>
      <w:sz w:val="18"/>
      <w:szCs w:val="18"/>
    </w:rPr>
  </w:style>
  <w:style w:type="paragraph" w:styleId="11">
    <w:name w:val="footer"/>
    <w:link w:val="34"/>
    <w:qFormat/>
    <w:uiPriority w:val="0"/>
    <w:pPr>
      <w:widowControl w:val="0"/>
      <w:tabs>
        <w:tab w:val="center" w:pos="4153"/>
        <w:tab w:val="right" w:pos="8306"/>
      </w:tabs>
      <w:snapToGrid w:val="0"/>
    </w:pPr>
    <w:rPr>
      <w:rFonts w:ascii="Calibri" w:hAnsi="Calibri" w:eastAsia="宋体" w:cs="Times New Roman"/>
      <w:kern w:val="2"/>
      <w:sz w:val="18"/>
      <w:szCs w:val="22"/>
      <w:lang w:val="en-US" w:eastAsia="zh-CN" w:bidi="ar-SA"/>
    </w:rPr>
  </w:style>
  <w:style w:type="paragraph" w:styleId="1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paragraph" w:styleId="13">
    <w:name w:val="toc 1"/>
    <w:next w:val="1"/>
    <w:qFormat/>
    <w:uiPriority w:val="0"/>
    <w:pPr>
      <w:widowControl w:val="0"/>
      <w:jc w:val="both"/>
    </w:pPr>
    <w:rPr>
      <w:rFonts w:ascii="Calibri" w:hAnsi="Calibri" w:eastAsia="宋体" w:cs="Times New Roman"/>
      <w:kern w:val="2"/>
      <w:sz w:val="21"/>
      <w:szCs w:val="22"/>
      <w:lang w:val="en-US" w:eastAsia="zh-CN" w:bidi="ar-SA"/>
    </w:rPr>
  </w:style>
  <w:style w:type="paragraph" w:styleId="14">
    <w:name w:val="toc 2"/>
    <w:next w:val="1"/>
    <w:qFormat/>
    <w:uiPriority w:val="0"/>
    <w:pPr>
      <w:widowControl w:val="0"/>
      <w:ind w:left="420" w:leftChars="200"/>
      <w:jc w:val="both"/>
    </w:pPr>
    <w:rPr>
      <w:rFonts w:ascii="Calibri" w:hAnsi="Calibri" w:eastAsia="宋体" w:cs="Times New Roman"/>
      <w:kern w:val="2"/>
      <w:sz w:val="21"/>
      <w:szCs w:val="22"/>
      <w:lang w:val="en-US" w:eastAsia="zh-CN" w:bidi="ar-SA"/>
    </w:rPr>
  </w:style>
  <w:style w:type="paragraph" w:styleId="15">
    <w:name w:val="Normal (Web)"/>
    <w:basedOn w:val="1"/>
    <w:qFormat/>
    <w:uiPriority w:val="0"/>
    <w:pPr>
      <w:spacing w:beforeAutospacing="1" w:afterAutospacing="1"/>
      <w:jc w:val="left"/>
    </w:pPr>
    <w:rPr>
      <w:kern w:val="0"/>
      <w:sz w:val="24"/>
    </w:rPr>
  </w:style>
  <w:style w:type="paragraph" w:styleId="16">
    <w:name w:val="annotation subject"/>
    <w:basedOn w:val="6"/>
    <w:next w:val="6"/>
    <w:link w:val="30"/>
    <w:qFormat/>
    <w:uiPriority w:val="0"/>
    <w:rPr>
      <w:b/>
      <w:bCs/>
    </w:rPr>
  </w:style>
  <w:style w:type="paragraph" w:styleId="17">
    <w:name w:val="Body Text First Indent 2"/>
    <w:basedOn w:val="8"/>
    <w:link w:val="33"/>
    <w:qFormat/>
    <w:uiPriority w:val="0"/>
    <w:pPr>
      <w:ind w:firstLine="420" w:firstLineChars="200"/>
    </w:pPr>
  </w:style>
  <w:style w:type="table" w:styleId="1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1">
    <w:name w:val="Hyperlink"/>
    <w:qFormat/>
    <w:uiPriority w:val="0"/>
    <w:rPr>
      <w:rFonts w:cs="Times New Roman"/>
      <w:color w:val="0000FF"/>
      <w:u w:val="single"/>
    </w:rPr>
  </w:style>
  <w:style w:type="character" w:styleId="22">
    <w:name w:val="annotation reference"/>
    <w:basedOn w:val="20"/>
    <w:qFormat/>
    <w:uiPriority w:val="0"/>
    <w:rPr>
      <w:sz w:val="21"/>
      <w:szCs w:val="21"/>
    </w:rPr>
  </w:style>
  <w:style w:type="character" w:customStyle="1" w:styleId="23">
    <w:name w:val="font41"/>
    <w:qFormat/>
    <w:uiPriority w:val="0"/>
    <w:rPr>
      <w:rFonts w:hint="eastAsia" w:ascii="微软雅黑" w:hAnsi="微软雅黑" w:eastAsia="微软雅黑" w:cs="微软雅黑"/>
      <w:b/>
      <w:color w:val="000000"/>
      <w:sz w:val="18"/>
      <w:szCs w:val="18"/>
      <w:u w:val="none"/>
    </w:rPr>
  </w:style>
  <w:style w:type="character" w:customStyle="1" w:styleId="24">
    <w:name w:val="font91"/>
    <w:qFormat/>
    <w:uiPriority w:val="0"/>
    <w:rPr>
      <w:rFonts w:hint="eastAsia" w:ascii="微软雅黑" w:hAnsi="微软雅黑" w:eastAsia="微软雅黑" w:cs="微软雅黑"/>
      <w:color w:val="000000"/>
      <w:sz w:val="18"/>
      <w:szCs w:val="18"/>
      <w:u w:val="none"/>
    </w:rPr>
  </w:style>
  <w:style w:type="character" w:customStyle="1" w:styleId="25">
    <w:name w:val="font81"/>
    <w:qFormat/>
    <w:uiPriority w:val="0"/>
    <w:rPr>
      <w:rFonts w:hint="default" w:ascii="Arial" w:hAnsi="Arial" w:cs="Arial"/>
      <w:color w:val="000000"/>
      <w:sz w:val="18"/>
      <w:szCs w:val="18"/>
      <w:u w:val="none"/>
    </w:rPr>
  </w:style>
  <w:style w:type="character" w:customStyle="1" w:styleId="26">
    <w:name w:val="font21"/>
    <w:qFormat/>
    <w:uiPriority w:val="0"/>
    <w:rPr>
      <w:rFonts w:hint="eastAsia" w:ascii="宋体" w:hAnsi="宋体" w:eastAsia="宋体" w:cs="宋体"/>
      <w:color w:val="000000"/>
      <w:sz w:val="18"/>
      <w:szCs w:val="18"/>
      <w:u w:val="none"/>
    </w:rPr>
  </w:style>
  <w:style w:type="character" w:customStyle="1" w:styleId="27">
    <w:name w:val="font11"/>
    <w:qFormat/>
    <w:uiPriority w:val="0"/>
    <w:rPr>
      <w:rFonts w:hint="default" w:ascii="Arial" w:hAnsi="Arial" w:cs="Arial"/>
      <w:b/>
      <w:color w:val="000000"/>
      <w:sz w:val="18"/>
      <w:szCs w:val="18"/>
      <w:u w:val="none"/>
    </w:rPr>
  </w:style>
  <w:style w:type="paragraph" w:customStyle="1" w:styleId="28">
    <w:name w:val="纯文本1"/>
    <w:qFormat/>
    <w:uiPriority w:val="0"/>
    <w:pPr>
      <w:widowControl w:val="0"/>
    </w:pPr>
    <w:rPr>
      <w:rFonts w:ascii="宋体" w:hAnsi="Courier New" w:eastAsia="仿宋_GB2312" w:cs="Times New Roman"/>
      <w:kern w:val="2"/>
      <w:sz w:val="21"/>
      <w:szCs w:val="21"/>
      <w:lang w:val="en-US" w:eastAsia="zh-CN" w:bidi="ar-SA"/>
    </w:rPr>
  </w:style>
  <w:style w:type="character" w:customStyle="1" w:styleId="29">
    <w:name w:val="批注文字 字符"/>
    <w:basedOn w:val="20"/>
    <w:link w:val="6"/>
    <w:qFormat/>
    <w:uiPriority w:val="0"/>
    <w:rPr>
      <w:rFonts w:ascii="Calibri" w:hAnsi="Calibri"/>
      <w:kern w:val="2"/>
      <w:sz w:val="21"/>
      <w:szCs w:val="22"/>
    </w:rPr>
  </w:style>
  <w:style w:type="character" w:customStyle="1" w:styleId="30">
    <w:name w:val="批注主题 字符"/>
    <w:basedOn w:val="29"/>
    <w:link w:val="16"/>
    <w:qFormat/>
    <w:uiPriority w:val="0"/>
    <w:rPr>
      <w:rFonts w:ascii="Calibri" w:hAnsi="Calibri"/>
      <w:b/>
      <w:bCs/>
      <w:kern w:val="2"/>
      <w:sz w:val="21"/>
      <w:szCs w:val="22"/>
    </w:rPr>
  </w:style>
  <w:style w:type="character" w:customStyle="1" w:styleId="31">
    <w:name w:val="批注框文本 字符"/>
    <w:basedOn w:val="20"/>
    <w:link w:val="10"/>
    <w:qFormat/>
    <w:uiPriority w:val="0"/>
    <w:rPr>
      <w:rFonts w:ascii="Calibri" w:hAnsi="Calibri"/>
      <w:kern w:val="2"/>
      <w:sz w:val="18"/>
      <w:szCs w:val="18"/>
    </w:rPr>
  </w:style>
  <w:style w:type="character" w:customStyle="1" w:styleId="32">
    <w:name w:val="正文文本缩进 字符"/>
    <w:basedOn w:val="20"/>
    <w:link w:val="8"/>
    <w:qFormat/>
    <w:uiPriority w:val="0"/>
    <w:rPr>
      <w:rFonts w:ascii="Calibri" w:hAnsi="Calibri"/>
      <w:kern w:val="2"/>
      <w:sz w:val="21"/>
      <w:szCs w:val="22"/>
    </w:rPr>
  </w:style>
  <w:style w:type="character" w:customStyle="1" w:styleId="33">
    <w:name w:val="正文文本首行缩进 2 字符"/>
    <w:basedOn w:val="32"/>
    <w:link w:val="17"/>
    <w:qFormat/>
    <w:uiPriority w:val="0"/>
    <w:rPr>
      <w:rFonts w:ascii="Calibri" w:hAnsi="Calibri"/>
      <w:kern w:val="2"/>
      <w:sz w:val="21"/>
      <w:szCs w:val="22"/>
    </w:rPr>
  </w:style>
  <w:style w:type="character" w:customStyle="1" w:styleId="34">
    <w:name w:val="页脚 字符"/>
    <w:link w:val="11"/>
    <w:qFormat/>
    <w:uiPriority w:val="0"/>
    <w:rPr>
      <w:rFonts w:ascii="Calibri" w:hAnsi="Calibri"/>
      <w:kern w:val="2"/>
      <w:sz w:val="18"/>
      <w:szCs w:val="22"/>
    </w:rPr>
  </w:style>
  <w:style w:type="paragraph" w:customStyle="1" w:styleId="35">
    <w:name w:val="正文_2"/>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4729</Words>
  <Characters>5151</Characters>
  <Lines>49</Lines>
  <Paragraphs>13</Paragraphs>
  <TotalTime>90</TotalTime>
  <ScaleCrop>false</ScaleCrop>
  <LinksUpToDate>false</LinksUpToDate>
  <CharactersWithSpaces>5748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2022-12-05T03:57:00Z</dcterms:created>
  <dc:creator>CR7777777</dc:creator>
  <cp:lastModifiedBy>陈昊</cp:lastModifiedBy>
  <dcterms:modified xsi:type="dcterms:W3CDTF">2022-12-16T06:55:03Z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05865DB2A6A34BE6874695F39F3BF111</vt:lpwstr>
  </property>
</Properties>
</file>