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color w:val="auto"/>
          <w:sz w:val="52"/>
          <w:szCs w:val="52"/>
        </w:rPr>
      </w:pPr>
      <w:r>
        <w:rPr>
          <w:rFonts w:ascii="仿宋" w:hAnsi="仿宋" w:eastAsia="仿宋"/>
          <w:b/>
          <w:color w:val="auto"/>
          <w:sz w:val="52"/>
          <w:szCs w:val="52"/>
        </w:rPr>
        <w:pict>
          <v:shape id="_x0000_i1025" o:spt="136" type="#_x0000_t136" style="height:82.55pt;width:487.5pt;" fillcolor="#000000" filled="t" stroked="t" coordsize="21600,21600" adj="10800">
            <v:path/>
            <v:fill on="t" color2="#FFFFFF" focussize="0,0"/>
            <v:stroke color="#000000"/>
            <v:imagedata o:title=""/>
            <o:lock v:ext="edit" aspectratio="f"/>
            <v:textpath on="t" fitshape="t" fitpath="t" trim="t" xscale="f" string="鄂尔多斯市空港实业&#10;有限公司" style="font-family:宋体;font-size:36pt;v-text-align:center;"/>
            <v:shadow on="t" obscured="f" color="#868686" opacity="65536f" offset="1pt,0pt" offset2="-2pt,-4pt" origin="0f,0f" matrix="65536f,0f,0f,65536f,0,0"/>
            <w10:wrap type="none"/>
            <w10:anchorlock/>
          </v:shape>
        </w:pict>
      </w: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r>
        <w:rPr>
          <w:rFonts w:ascii="仿宋" w:hAnsi="仿宋" w:eastAsia="仿宋"/>
          <w:b/>
          <w:color w:val="auto"/>
          <w:sz w:val="52"/>
          <w:szCs w:val="52"/>
        </w:rPr>
        <w:pict>
          <v:shape id="_x0000_i1026" o:spt="136" type="#_x0000_t136" style="height:44.25pt;width:177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rPr>
          <w:rFonts w:ascii="仿宋" w:hAnsi="仿宋" w:eastAsia="仿宋"/>
          <w:b/>
          <w:color w:val="auto"/>
          <w:sz w:val="52"/>
          <w:szCs w:val="52"/>
        </w:rPr>
      </w:pPr>
    </w:p>
    <w:p>
      <w:pPr>
        <w:rPr>
          <w:rFonts w:ascii="仿宋" w:hAnsi="仿宋" w:eastAsia="仿宋"/>
          <w:b/>
          <w:color w:val="auto"/>
          <w:sz w:val="52"/>
          <w:szCs w:val="52"/>
        </w:rPr>
      </w:pPr>
    </w:p>
    <w:p>
      <w:pPr>
        <w:jc w:val="center"/>
        <w:rPr>
          <w:rFonts w:ascii="仿宋" w:hAnsi="仿宋" w:eastAsia="仿宋"/>
          <w:b/>
          <w:color w:val="auto"/>
          <w:sz w:val="44"/>
          <w:szCs w:val="44"/>
        </w:rPr>
      </w:pPr>
      <w:r>
        <w:rPr>
          <w:rFonts w:hint="eastAsia" w:ascii="仿宋" w:hAnsi="仿宋" w:eastAsia="仿宋"/>
          <w:b/>
          <w:color w:val="auto"/>
          <w:sz w:val="44"/>
          <w:szCs w:val="44"/>
        </w:rPr>
        <w:t>项目名称：</w:t>
      </w:r>
      <w:r>
        <w:rPr>
          <w:rFonts w:hint="eastAsia" w:ascii="仿宋" w:hAnsi="仿宋" w:eastAsia="仿宋"/>
          <w:b/>
          <w:color w:val="auto"/>
          <w:sz w:val="44"/>
          <w:szCs w:val="44"/>
          <w:lang w:eastAsia="zh-CN"/>
        </w:rPr>
        <w:t>酒店</w:t>
      </w:r>
      <w:r>
        <w:rPr>
          <w:rFonts w:hint="eastAsia" w:ascii="仿宋" w:hAnsi="仿宋" w:eastAsia="仿宋"/>
          <w:b/>
          <w:color w:val="auto"/>
          <w:sz w:val="44"/>
          <w:szCs w:val="44"/>
          <w:lang w:val="en-US" w:eastAsia="zh-CN"/>
        </w:rPr>
        <w:t>消耗品</w:t>
      </w:r>
      <w:r>
        <w:rPr>
          <w:rFonts w:hint="eastAsia" w:ascii="仿宋" w:hAnsi="仿宋" w:eastAsia="仿宋"/>
          <w:b/>
          <w:color w:val="auto"/>
          <w:sz w:val="44"/>
          <w:szCs w:val="44"/>
          <w:lang w:eastAsia="zh-CN"/>
        </w:rPr>
        <w:t>采购项目</w:t>
      </w:r>
    </w:p>
    <w:p>
      <w:pPr>
        <w:jc w:val="center"/>
        <w:outlineLvl w:val="0"/>
        <w:rPr>
          <w:rFonts w:hint="eastAsia" w:ascii="仿宋" w:hAnsi="仿宋" w:eastAsia="仿宋"/>
          <w:b/>
          <w:color w:val="auto"/>
          <w:sz w:val="44"/>
          <w:szCs w:val="44"/>
          <w:lang w:eastAsia="zh-CN"/>
        </w:rPr>
      </w:pPr>
      <w:bookmarkStart w:id="0" w:name="_Toc16906"/>
      <w:r>
        <w:rPr>
          <w:rFonts w:hint="eastAsia" w:ascii="仿宋" w:hAnsi="仿宋" w:eastAsia="仿宋"/>
          <w:b/>
          <w:color w:val="auto"/>
          <w:sz w:val="44"/>
          <w:szCs w:val="44"/>
        </w:rPr>
        <w:t>项目编号：</w:t>
      </w:r>
      <w:r>
        <w:rPr>
          <w:rFonts w:hint="eastAsia" w:ascii="仿宋" w:hAnsi="仿宋" w:eastAsia="仿宋"/>
          <w:b/>
          <w:color w:val="auto"/>
          <w:sz w:val="44"/>
          <w:szCs w:val="44"/>
          <w:lang w:eastAsia="zh-CN"/>
        </w:rPr>
        <w:t>CG/</w:t>
      </w:r>
      <w:r>
        <w:rPr>
          <w:rFonts w:hint="eastAsia" w:ascii="仿宋" w:hAnsi="仿宋" w:eastAsia="仿宋"/>
          <w:b/>
          <w:color w:val="auto"/>
          <w:sz w:val="44"/>
          <w:szCs w:val="44"/>
          <w:lang w:val="en-US" w:eastAsia="zh-CN"/>
        </w:rPr>
        <w:t>SYGS</w:t>
      </w:r>
      <w:r>
        <w:rPr>
          <w:rFonts w:hint="eastAsia" w:ascii="仿宋" w:hAnsi="仿宋" w:eastAsia="仿宋"/>
          <w:b/>
          <w:color w:val="auto"/>
          <w:sz w:val="44"/>
          <w:szCs w:val="44"/>
          <w:lang w:eastAsia="zh-CN"/>
        </w:rPr>
        <w:t>-2</w:t>
      </w:r>
      <w:r>
        <w:rPr>
          <w:rFonts w:hint="eastAsia" w:ascii="仿宋" w:hAnsi="仿宋" w:eastAsia="仿宋"/>
          <w:b/>
          <w:color w:val="auto"/>
          <w:sz w:val="44"/>
          <w:szCs w:val="44"/>
          <w:lang w:val="en-US" w:eastAsia="zh-CN"/>
        </w:rPr>
        <w:t>3</w:t>
      </w:r>
      <w:r>
        <w:rPr>
          <w:rFonts w:hint="eastAsia" w:ascii="仿宋" w:hAnsi="仿宋" w:eastAsia="仿宋"/>
          <w:b/>
          <w:color w:val="auto"/>
          <w:sz w:val="44"/>
          <w:szCs w:val="44"/>
          <w:lang w:eastAsia="zh-CN"/>
        </w:rPr>
        <w:t>-00</w:t>
      </w:r>
      <w:r>
        <w:rPr>
          <w:rFonts w:hint="eastAsia" w:ascii="仿宋" w:hAnsi="仿宋" w:eastAsia="仿宋"/>
          <w:b/>
          <w:color w:val="auto"/>
          <w:sz w:val="44"/>
          <w:szCs w:val="44"/>
          <w:lang w:val="en-US" w:eastAsia="zh-CN"/>
        </w:rPr>
        <w:t>6</w:t>
      </w:r>
      <w:r>
        <w:rPr>
          <w:rFonts w:hint="eastAsia" w:ascii="仿宋" w:hAnsi="仿宋" w:eastAsia="仿宋"/>
          <w:b/>
          <w:color w:val="auto"/>
          <w:sz w:val="44"/>
          <w:szCs w:val="44"/>
          <w:lang w:eastAsia="zh-CN"/>
        </w:rPr>
        <w:t>-N</w:t>
      </w:r>
      <w:bookmarkEnd w:id="0"/>
    </w:p>
    <w:p>
      <w:pPr>
        <w:jc w:val="center"/>
        <w:rPr>
          <w:rFonts w:ascii="仿宋" w:hAnsi="仿宋" w:eastAsia="仿宋"/>
          <w:b/>
          <w:color w:val="auto"/>
          <w:sz w:val="44"/>
          <w:szCs w:val="44"/>
        </w:rPr>
      </w:pPr>
    </w:p>
    <w:p>
      <w:pPr>
        <w:jc w:val="center"/>
        <w:rPr>
          <w:rFonts w:ascii="仿宋" w:hAnsi="仿宋" w:eastAsia="仿宋"/>
          <w:b/>
          <w:color w:val="auto"/>
          <w:sz w:val="44"/>
          <w:szCs w:val="44"/>
        </w:rPr>
      </w:pPr>
    </w:p>
    <w:p>
      <w:pPr>
        <w:widowControl/>
        <w:jc w:val="center"/>
        <w:rPr>
          <w:rFonts w:ascii="方正小标宋简体" w:hAnsi="仿宋" w:eastAsia="方正小标宋简体"/>
          <w:color w:val="auto"/>
          <w:sz w:val="44"/>
          <w:szCs w:val="44"/>
        </w:rPr>
      </w:pPr>
      <w:r>
        <w:rPr>
          <w:rFonts w:hint="eastAsia" w:ascii="方正小标宋简体" w:hAnsi="仿宋" w:eastAsia="方正小标宋简体"/>
          <w:color w:val="auto"/>
          <w:sz w:val="44"/>
          <w:szCs w:val="44"/>
        </w:rPr>
        <w:t>目录</w:t>
      </w:r>
    </w:p>
    <w:p>
      <w:pPr>
        <w:widowControl/>
        <w:jc w:val="center"/>
        <w:rPr>
          <w:rFonts w:hint="eastAsia" w:ascii="仿宋_GB2312" w:hAnsi="仿宋_GB2312" w:eastAsia="仿宋_GB2312" w:cs="仿宋_GB2312"/>
          <w:color w:val="auto"/>
          <w:sz w:val="32"/>
          <w:szCs w:val="32"/>
        </w:rPr>
      </w:pPr>
    </w:p>
    <w:p>
      <w:pPr>
        <w:pStyle w:val="10"/>
        <w:tabs>
          <w:tab w:val="right" w:leader="dot" w:pos="9752"/>
        </w:tabs>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TOC \o "1-3" \h \z \u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_Toc13090 </w:instrText>
      </w:r>
      <w:r>
        <w:rPr>
          <w:rFonts w:hint="eastAsia" w:ascii="仿宋_GB2312" w:hAnsi="仿宋_GB2312" w:eastAsia="仿宋_GB2312" w:cs="仿宋_GB2312"/>
          <w:color w:val="auto"/>
          <w:sz w:val="32"/>
          <w:szCs w:val="32"/>
        </w:rPr>
        <w:fldChar w:fldCharType="separate"/>
      </w:r>
    </w:p>
    <w:sdt>
      <w:sdtPr>
        <w:rPr>
          <w:rFonts w:ascii="宋体" w:hAnsi="宋体" w:eastAsia="宋体" w:cs="Calibri"/>
          <w:kern w:val="2"/>
          <w:sz w:val="21"/>
          <w:szCs w:val="21"/>
          <w:lang w:val="en-US" w:eastAsia="zh-CN" w:bidi="ar-SA"/>
        </w:rPr>
        <w:id w:val="147454247"/>
        <w15:color w:val="DBDBDB"/>
        <w:docPartObj>
          <w:docPartGallery w:val="Table of Contents"/>
          <w:docPartUnique/>
        </w:docPartObj>
      </w:sdtPr>
      <w:sdtEndPr>
        <w:rPr>
          <w:rFonts w:ascii="宋体" w:hAnsi="宋体" w:eastAsia="宋体" w:cs="Calibri"/>
          <w:kern w:val="2"/>
          <w:sz w:val="21"/>
          <w:szCs w:val="21"/>
          <w:lang w:val="en-US" w:eastAsia="zh-CN" w:bidi="ar-SA"/>
        </w:rPr>
      </w:sdtEndPr>
      <w:sdtContent>
        <w:p>
          <w:pPr>
            <w:pStyle w:val="10"/>
            <w:tabs>
              <w:tab w:val="right" w:leader="dot" w:pos="9752"/>
            </w:tabs>
          </w:pPr>
          <w:r>
            <w:fldChar w:fldCharType="begin"/>
          </w:r>
          <w:r>
            <w:instrText xml:space="preserve">TOC \o "1-1" \h \u </w:instrText>
          </w:r>
          <w:r>
            <w:fldChar w:fldCharType="separate"/>
          </w:r>
        </w:p>
        <w:p>
          <w:pPr>
            <w:pStyle w:val="34"/>
            <w:tabs>
              <w:tab w:val="right" w:leader="dot" w:pos="9026"/>
            </w:tabs>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HYPERLINK \l _Toc2831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color w:val="auto"/>
              <w:kern w:val="2"/>
              <w:sz w:val="32"/>
              <w:szCs w:val="32"/>
              <w:lang w:val="en-US" w:eastAsia="zh-CN" w:bidi="ar-SA"/>
            </w:rPr>
            <w:t>第一章 竞争性磋商公告</w:t>
          </w:r>
          <w:r>
            <w:rPr>
              <w:rFonts w:hint="eastAsia" w:ascii="仿宋_GB2312" w:hAnsi="仿宋_GB2312" w:eastAsia="仿宋_GB2312" w:cs="仿宋_GB2312"/>
              <w:color w:val="auto"/>
              <w:kern w:val="2"/>
              <w:sz w:val="32"/>
              <w:szCs w:val="32"/>
              <w:lang w:val="en-US" w:eastAsia="zh-CN" w:bidi="ar-SA"/>
            </w:rPr>
            <w:tab/>
          </w: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PAGEREF _Toc2831 \h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color w:val="auto"/>
              <w:kern w:val="2"/>
              <w:sz w:val="32"/>
              <w:szCs w:val="32"/>
              <w:lang w:val="en-US" w:eastAsia="zh-CN" w:bidi="ar-SA"/>
            </w:rPr>
            <w:t>3</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fldChar w:fldCharType="end"/>
          </w:r>
        </w:p>
        <w:p>
          <w:pPr>
            <w:pStyle w:val="34"/>
            <w:tabs>
              <w:tab w:val="right" w:leader="dot" w:pos="9026"/>
            </w:tabs>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HYPERLINK \l _Toc27556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color w:val="auto"/>
              <w:kern w:val="2"/>
              <w:sz w:val="32"/>
              <w:szCs w:val="32"/>
              <w:lang w:val="en-US" w:eastAsia="zh-CN" w:bidi="ar-SA"/>
            </w:rPr>
            <w:t>第二章 采购内容与技术要求</w:t>
          </w:r>
          <w:r>
            <w:rPr>
              <w:rFonts w:hint="eastAsia" w:ascii="仿宋_GB2312" w:hAnsi="仿宋_GB2312" w:eastAsia="仿宋_GB2312" w:cs="仿宋_GB2312"/>
              <w:color w:val="auto"/>
              <w:kern w:val="2"/>
              <w:sz w:val="32"/>
              <w:szCs w:val="32"/>
              <w:lang w:val="en-US" w:eastAsia="zh-CN" w:bidi="ar-SA"/>
            </w:rPr>
            <w:tab/>
          </w: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PAGEREF _Toc27556 \h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color w:val="auto"/>
              <w:kern w:val="2"/>
              <w:sz w:val="32"/>
              <w:szCs w:val="32"/>
              <w:lang w:val="en-US" w:eastAsia="zh-CN" w:bidi="ar-SA"/>
            </w:rPr>
            <w:t>5</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fldChar w:fldCharType="end"/>
          </w:r>
        </w:p>
        <w:p>
          <w:pPr>
            <w:pStyle w:val="34"/>
            <w:tabs>
              <w:tab w:val="right" w:leader="dot" w:pos="9026"/>
            </w:tabs>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HYPERLINK \l _Toc15336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color w:val="auto"/>
              <w:kern w:val="2"/>
              <w:sz w:val="32"/>
              <w:szCs w:val="32"/>
              <w:lang w:val="en-US" w:eastAsia="zh-CN" w:bidi="ar-SA"/>
            </w:rPr>
            <w:t>第三章 投标人须知</w:t>
          </w:r>
          <w:r>
            <w:rPr>
              <w:rFonts w:hint="eastAsia" w:ascii="仿宋_GB2312" w:hAnsi="仿宋_GB2312" w:eastAsia="仿宋_GB2312" w:cs="仿宋_GB2312"/>
              <w:color w:val="auto"/>
              <w:kern w:val="2"/>
              <w:sz w:val="32"/>
              <w:szCs w:val="32"/>
              <w:lang w:val="en-US" w:eastAsia="zh-CN" w:bidi="ar-SA"/>
            </w:rPr>
            <w:tab/>
          </w: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PAGEREF _Toc15336 \h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color w:val="auto"/>
              <w:kern w:val="2"/>
              <w:sz w:val="32"/>
              <w:szCs w:val="32"/>
              <w:lang w:val="en-US" w:eastAsia="zh-CN" w:bidi="ar-SA"/>
            </w:rPr>
            <w:t>15</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fldChar w:fldCharType="end"/>
          </w:r>
        </w:p>
        <w:p>
          <w:pPr>
            <w:pStyle w:val="34"/>
            <w:tabs>
              <w:tab w:val="right" w:leader="dot" w:pos="9026"/>
            </w:tabs>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第四章 </w:t>
          </w: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HYPERLINK \l _Toc17987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color w:val="auto"/>
              <w:kern w:val="2"/>
              <w:sz w:val="32"/>
              <w:szCs w:val="32"/>
              <w:lang w:val="en-US" w:eastAsia="zh-CN" w:bidi="ar-SA"/>
            </w:rPr>
            <w:t>采 购 合 同</w:t>
          </w:r>
          <w:r>
            <w:rPr>
              <w:rFonts w:hint="eastAsia" w:ascii="仿宋_GB2312" w:hAnsi="仿宋_GB2312" w:eastAsia="仿宋_GB2312" w:cs="仿宋_GB2312"/>
              <w:color w:val="auto"/>
              <w:kern w:val="2"/>
              <w:sz w:val="32"/>
              <w:szCs w:val="32"/>
              <w:lang w:val="en-US" w:eastAsia="zh-CN" w:bidi="ar-SA"/>
            </w:rPr>
            <w:tab/>
          </w: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PAGEREF _Toc17987 \h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color w:val="auto"/>
              <w:kern w:val="2"/>
              <w:sz w:val="32"/>
              <w:szCs w:val="32"/>
              <w:lang w:val="en-US" w:eastAsia="zh-CN" w:bidi="ar-SA"/>
            </w:rPr>
            <w:t>20</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fldChar w:fldCharType="end"/>
          </w:r>
        </w:p>
        <w:p>
          <w:pPr>
            <w:pStyle w:val="34"/>
            <w:tabs>
              <w:tab w:val="right" w:leader="dot" w:pos="9026"/>
            </w:tabs>
          </w:pP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HYPERLINK \l _Toc12331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color w:val="auto"/>
              <w:kern w:val="2"/>
              <w:sz w:val="32"/>
              <w:szCs w:val="32"/>
              <w:lang w:val="en-US" w:eastAsia="zh-CN" w:bidi="ar-SA"/>
            </w:rPr>
            <w:t>第五章 响应文件格式与要求(参考)</w:t>
          </w:r>
          <w:r>
            <w:rPr>
              <w:rFonts w:hint="eastAsia" w:ascii="仿宋_GB2312" w:hAnsi="仿宋_GB2312" w:eastAsia="仿宋_GB2312" w:cs="仿宋_GB2312"/>
              <w:color w:val="auto"/>
              <w:kern w:val="2"/>
              <w:sz w:val="32"/>
              <w:szCs w:val="32"/>
              <w:lang w:val="en-US" w:eastAsia="zh-CN" w:bidi="ar-SA"/>
            </w:rPr>
            <w:tab/>
          </w: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PAGEREF _Toc12331 \h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color w:val="auto"/>
              <w:kern w:val="2"/>
              <w:sz w:val="32"/>
              <w:szCs w:val="32"/>
              <w:lang w:val="en-US" w:eastAsia="zh-CN" w:bidi="ar-SA"/>
            </w:rPr>
            <w:t>27</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fldChar w:fldCharType="end"/>
          </w:r>
        </w:p>
        <w:p>
          <w:r>
            <w:fldChar w:fldCharType="end"/>
          </w:r>
        </w:p>
      </w:sdtContent>
    </w:sdt>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_Toc13090 </w:instrText>
      </w:r>
      <w:r>
        <w:rPr>
          <w:rFonts w:hint="eastAsia" w:ascii="仿宋_GB2312" w:hAnsi="仿宋_GB2312" w:eastAsia="仿宋_GB2312" w:cs="仿宋_GB2312"/>
          <w:color w:val="auto"/>
          <w:sz w:val="32"/>
          <w:szCs w:val="32"/>
        </w:rPr>
        <w:fldChar w:fldCharType="separate"/>
      </w:r>
      <w:r>
        <w:rPr>
          <w:b/>
        </w:rPr>
        <w:t>。</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1"/>
        <w:tabs>
          <w:tab w:val="right" w:leader="dot" w:pos="9742"/>
        </w:tabs>
        <w:spacing w:line="360" w:lineRule="auto"/>
        <w:ind w:left="0" w:leftChars="0" w:firstLine="0" w:firstLineChars="0"/>
        <w:rPr>
          <w:rFonts w:ascii="仿宋_GB2312" w:hAnsi="仿宋" w:eastAsia="仿宋_GB2312"/>
          <w:color w:val="auto"/>
          <w:sz w:val="44"/>
          <w:szCs w:val="32"/>
        </w:rPr>
      </w:pPr>
      <w:r>
        <w:rPr>
          <w:rFonts w:hint="eastAsia" w:ascii="仿宋_GB2312" w:hAnsi="仿宋_GB2312" w:eastAsia="仿宋_GB2312" w:cs="仿宋_GB2312"/>
          <w:color w:val="auto"/>
          <w:sz w:val="32"/>
          <w:szCs w:val="32"/>
        </w:rPr>
        <w:fldChar w:fldCharType="end"/>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3"/>
        <w:spacing w:line="360" w:lineRule="auto"/>
        <w:jc w:val="center"/>
        <w:rPr>
          <w:rFonts w:ascii="仿宋" w:hAnsi="仿宋" w:eastAsia="仿宋"/>
          <w:color w:val="auto"/>
        </w:rPr>
      </w:pPr>
      <w:bookmarkStart w:id="1" w:name="_Toc10545"/>
      <w:bookmarkStart w:id="2" w:name="_Toc2831"/>
      <w:r>
        <w:rPr>
          <w:rFonts w:hint="eastAsia" w:ascii="仿宋" w:hAnsi="仿宋" w:eastAsia="仿宋"/>
          <w:color w:val="auto"/>
        </w:rPr>
        <w:t>第一章</w:t>
      </w:r>
      <w:r>
        <w:rPr>
          <w:rFonts w:ascii="仿宋" w:hAnsi="仿宋" w:eastAsia="仿宋"/>
          <w:color w:val="auto"/>
        </w:rPr>
        <w:t xml:space="preserve"> </w:t>
      </w:r>
      <w:r>
        <w:rPr>
          <w:rFonts w:hint="eastAsia" w:ascii="仿宋" w:hAnsi="仿宋" w:eastAsia="仿宋"/>
          <w:color w:val="auto"/>
        </w:rPr>
        <w:t>竞争性磋商公告</w:t>
      </w:r>
      <w:bookmarkEnd w:id="1"/>
      <w:bookmarkEnd w:id="2"/>
    </w:p>
    <w:p>
      <w:pPr>
        <w:ind w:firstLine="560" w:firstLineChars="200"/>
        <w:jc w:val="left"/>
        <w:rPr>
          <w:rFonts w:ascii="仿宋" w:hAnsi="仿宋" w:eastAsia="仿宋"/>
          <w:color w:val="auto"/>
          <w:sz w:val="28"/>
          <w:szCs w:val="28"/>
        </w:rPr>
      </w:pPr>
      <w:r>
        <w:rPr>
          <w:rFonts w:hint="eastAsia" w:ascii="仿宋" w:hAnsi="仿宋" w:eastAsia="仿宋"/>
          <w:color w:val="auto"/>
          <w:sz w:val="28"/>
          <w:szCs w:val="28"/>
          <w:lang w:eastAsia="zh-CN"/>
        </w:rPr>
        <w:t>鄂尔多斯市</w:t>
      </w:r>
      <w:r>
        <w:rPr>
          <w:rFonts w:hint="eastAsia" w:ascii="仿宋" w:hAnsi="仿宋" w:eastAsia="仿宋"/>
          <w:color w:val="auto"/>
          <w:sz w:val="28"/>
          <w:szCs w:val="28"/>
          <w:lang w:val="en-US" w:eastAsia="zh-CN"/>
        </w:rPr>
        <w:t>空港实业</w:t>
      </w:r>
      <w:r>
        <w:rPr>
          <w:rFonts w:hint="eastAsia" w:ascii="仿宋" w:hAnsi="仿宋" w:eastAsia="仿宋"/>
          <w:color w:val="auto"/>
          <w:sz w:val="28"/>
          <w:szCs w:val="28"/>
          <w:lang w:eastAsia="zh-CN"/>
        </w:rPr>
        <w:t>有限公司</w:t>
      </w:r>
      <w:r>
        <w:rPr>
          <w:rFonts w:hint="eastAsia" w:ascii="仿宋" w:hAnsi="仿宋" w:eastAsia="仿宋"/>
          <w:color w:val="auto"/>
          <w:sz w:val="28"/>
          <w:szCs w:val="28"/>
        </w:rPr>
        <w:t>拟采用竞争性磋商的方式</w:t>
      </w:r>
      <w:r>
        <w:rPr>
          <w:rFonts w:hint="eastAsia" w:ascii="仿宋" w:hAnsi="仿宋" w:eastAsia="仿宋"/>
          <w:color w:val="auto"/>
          <w:sz w:val="28"/>
          <w:szCs w:val="28"/>
          <w:lang w:val="en-US" w:eastAsia="zh-CN"/>
        </w:rPr>
        <w:t>对</w:t>
      </w:r>
      <w:r>
        <w:rPr>
          <w:rFonts w:hint="eastAsia" w:ascii="仿宋" w:hAnsi="仿宋" w:eastAsia="仿宋"/>
          <w:color w:val="auto"/>
          <w:sz w:val="28"/>
          <w:szCs w:val="28"/>
          <w:lang w:eastAsia="zh-CN"/>
        </w:rPr>
        <w:t>酒店</w:t>
      </w:r>
      <w:r>
        <w:rPr>
          <w:rFonts w:hint="eastAsia" w:ascii="仿宋" w:hAnsi="仿宋" w:eastAsia="仿宋"/>
          <w:color w:val="auto"/>
          <w:sz w:val="28"/>
          <w:szCs w:val="28"/>
          <w:lang w:val="en-US" w:eastAsia="zh-CN"/>
        </w:rPr>
        <w:t>消耗品进行</w:t>
      </w:r>
      <w:r>
        <w:rPr>
          <w:rFonts w:hint="eastAsia" w:ascii="仿宋" w:hAnsi="仿宋" w:eastAsia="仿宋"/>
          <w:color w:val="auto"/>
          <w:sz w:val="28"/>
          <w:szCs w:val="28"/>
        </w:rPr>
        <w:t>采购，现邀请符合条件的供应商前来参与此次采购活动。</w:t>
      </w:r>
    </w:p>
    <w:p>
      <w:pPr>
        <w:pStyle w:val="4"/>
        <w:spacing w:line="360" w:lineRule="auto"/>
        <w:ind w:firstLine="561" w:firstLineChars="200"/>
        <w:rPr>
          <w:rFonts w:ascii="仿宋" w:hAnsi="仿宋" w:eastAsia="仿宋"/>
          <w:color w:val="auto"/>
          <w:sz w:val="28"/>
          <w:szCs w:val="28"/>
        </w:rPr>
      </w:pPr>
      <w:bookmarkStart w:id="3" w:name="_Toc9846"/>
      <w:r>
        <w:rPr>
          <w:rFonts w:hint="eastAsia" w:ascii="仿宋" w:hAnsi="仿宋" w:eastAsia="仿宋"/>
          <w:color w:val="auto"/>
          <w:sz w:val="28"/>
          <w:szCs w:val="28"/>
        </w:rPr>
        <w:t>一、项目概况</w:t>
      </w:r>
      <w:bookmarkEnd w:id="3"/>
    </w:p>
    <w:p>
      <w:pPr>
        <w:ind w:firstLine="560" w:firstLineChars="200"/>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（一）项目名称：酒店消耗品采购项目</w:t>
      </w:r>
    </w:p>
    <w:p>
      <w:pPr>
        <w:pStyle w:val="7"/>
        <w:spacing w:line="360" w:lineRule="auto"/>
        <w:ind w:firstLine="560" w:firstLineChars="200"/>
        <w:rPr>
          <w:rFonts w:hint="eastAsia" w:ascii="仿宋" w:hAnsi="仿宋" w:eastAsia="仿宋"/>
          <w:color w:val="auto"/>
          <w:kern w:val="2"/>
          <w:sz w:val="28"/>
          <w:szCs w:val="28"/>
          <w:lang w:eastAsia="zh-CN"/>
        </w:rPr>
      </w:pPr>
      <w:r>
        <w:rPr>
          <w:rFonts w:hint="eastAsia" w:ascii="仿宋" w:hAnsi="仿宋" w:eastAsia="仿宋"/>
          <w:color w:val="auto"/>
          <w:kern w:val="2"/>
          <w:sz w:val="28"/>
          <w:szCs w:val="28"/>
        </w:rPr>
        <w:t>（二）项目编号：</w:t>
      </w:r>
      <w:r>
        <w:rPr>
          <w:rFonts w:hint="eastAsia" w:ascii="仿宋" w:hAnsi="仿宋" w:eastAsia="仿宋"/>
          <w:color w:val="auto"/>
          <w:kern w:val="2"/>
          <w:sz w:val="28"/>
          <w:szCs w:val="28"/>
          <w:lang w:eastAsia="zh-CN"/>
        </w:rPr>
        <w:t>CG/</w:t>
      </w:r>
      <w:r>
        <w:rPr>
          <w:rFonts w:hint="eastAsia" w:ascii="仿宋" w:hAnsi="仿宋" w:eastAsia="仿宋"/>
          <w:color w:val="auto"/>
          <w:kern w:val="2"/>
          <w:sz w:val="28"/>
          <w:szCs w:val="28"/>
          <w:lang w:val="en-US" w:eastAsia="zh-CN"/>
        </w:rPr>
        <w:t>SYGS</w:t>
      </w:r>
      <w:r>
        <w:rPr>
          <w:rFonts w:hint="eastAsia" w:ascii="仿宋" w:hAnsi="仿宋" w:eastAsia="仿宋"/>
          <w:color w:val="auto"/>
          <w:kern w:val="2"/>
          <w:sz w:val="28"/>
          <w:szCs w:val="28"/>
          <w:lang w:eastAsia="zh-CN"/>
        </w:rPr>
        <w:t>-2</w:t>
      </w:r>
      <w:r>
        <w:rPr>
          <w:rFonts w:hint="eastAsia" w:ascii="仿宋" w:hAnsi="仿宋" w:eastAsia="仿宋"/>
          <w:color w:val="auto"/>
          <w:kern w:val="2"/>
          <w:sz w:val="28"/>
          <w:szCs w:val="28"/>
          <w:lang w:val="en-US" w:eastAsia="zh-CN"/>
        </w:rPr>
        <w:t>3</w:t>
      </w:r>
      <w:r>
        <w:rPr>
          <w:rFonts w:hint="eastAsia" w:ascii="仿宋" w:hAnsi="仿宋" w:eastAsia="仿宋"/>
          <w:color w:val="auto"/>
          <w:kern w:val="2"/>
          <w:sz w:val="28"/>
          <w:szCs w:val="28"/>
          <w:lang w:eastAsia="zh-CN"/>
        </w:rPr>
        <w:t>-00</w:t>
      </w:r>
      <w:r>
        <w:rPr>
          <w:rFonts w:hint="eastAsia" w:ascii="仿宋" w:hAnsi="仿宋" w:eastAsia="仿宋"/>
          <w:color w:val="auto"/>
          <w:kern w:val="2"/>
          <w:sz w:val="28"/>
          <w:szCs w:val="28"/>
          <w:lang w:val="en-US" w:eastAsia="zh-CN"/>
        </w:rPr>
        <w:t>6</w:t>
      </w:r>
      <w:r>
        <w:rPr>
          <w:rFonts w:hint="eastAsia" w:ascii="仿宋" w:hAnsi="仿宋" w:eastAsia="仿宋"/>
          <w:color w:val="auto"/>
          <w:kern w:val="2"/>
          <w:sz w:val="28"/>
          <w:szCs w:val="28"/>
          <w:lang w:eastAsia="zh-CN"/>
        </w:rPr>
        <w:t>-N</w:t>
      </w:r>
    </w:p>
    <w:p>
      <w:pPr>
        <w:pStyle w:val="7"/>
        <w:spacing w:line="360" w:lineRule="auto"/>
        <w:ind w:firstLine="560" w:firstLineChars="200"/>
        <w:rPr>
          <w:rFonts w:hint="eastAsia" w:ascii="仿宋" w:hAnsi="仿宋" w:eastAsia="仿宋"/>
          <w:color w:val="auto"/>
          <w:kern w:val="2"/>
          <w:sz w:val="28"/>
          <w:szCs w:val="28"/>
          <w:lang w:eastAsia="zh-CN"/>
        </w:rPr>
      </w:pPr>
      <w:r>
        <w:rPr>
          <w:rFonts w:hint="eastAsia" w:ascii="仿宋" w:hAnsi="仿宋" w:eastAsia="仿宋"/>
          <w:color w:val="auto"/>
          <w:kern w:val="2"/>
          <w:sz w:val="28"/>
          <w:szCs w:val="28"/>
        </w:rPr>
        <w:t>（三）采购人：</w:t>
      </w:r>
      <w:r>
        <w:rPr>
          <w:rFonts w:hint="eastAsia" w:ascii="仿宋" w:hAnsi="仿宋" w:eastAsia="仿宋"/>
          <w:color w:val="auto"/>
          <w:kern w:val="2"/>
          <w:sz w:val="28"/>
          <w:szCs w:val="28"/>
          <w:lang w:eastAsia="zh-CN"/>
        </w:rPr>
        <w:t>鄂尔多斯市</w:t>
      </w:r>
      <w:r>
        <w:rPr>
          <w:rFonts w:hint="eastAsia" w:ascii="仿宋" w:hAnsi="仿宋" w:eastAsia="仿宋"/>
          <w:color w:val="auto"/>
          <w:kern w:val="2"/>
          <w:sz w:val="28"/>
          <w:szCs w:val="28"/>
          <w:lang w:val="en-US" w:eastAsia="zh-CN"/>
        </w:rPr>
        <w:t>空港实业</w:t>
      </w:r>
      <w:r>
        <w:rPr>
          <w:rFonts w:hint="eastAsia" w:ascii="仿宋" w:hAnsi="仿宋" w:eastAsia="仿宋"/>
          <w:color w:val="auto"/>
          <w:kern w:val="2"/>
          <w:sz w:val="28"/>
          <w:szCs w:val="28"/>
          <w:lang w:eastAsia="zh-CN"/>
        </w:rPr>
        <w:t>有限公司</w:t>
      </w:r>
    </w:p>
    <w:p>
      <w:pPr>
        <w:pStyle w:val="7"/>
        <w:spacing w:line="360" w:lineRule="auto"/>
        <w:ind w:firstLine="560" w:firstLineChars="200"/>
        <w:rPr>
          <w:rFonts w:ascii="仿宋" w:hAnsi="仿宋" w:eastAsia="仿宋"/>
          <w:color w:val="auto"/>
          <w:kern w:val="2"/>
          <w:sz w:val="28"/>
          <w:szCs w:val="28"/>
        </w:rPr>
      </w:pPr>
      <w:r>
        <w:rPr>
          <w:rFonts w:hint="eastAsia" w:ascii="仿宋" w:hAnsi="仿宋" w:eastAsia="仿宋"/>
          <w:color w:val="auto"/>
          <w:kern w:val="2"/>
          <w:sz w:val="28"/>
          <w:szCs w:val="28"/>
        </w:rPr>
        <w:t>（四）资金来源：企业自筹</w:t>
      </w:r>
    </w:p>
    <w:p>
      <w:pPr>
        <w:pStyle w:val="7"/>
        <w:spacing w:line="360" w:lineRule="auto"/>
        <w:ind w:firstLine="560" w:firstLineChars="200"/>
        <w:rPr>
          <w:rFonts w:ascii="仿宋" w:hAnsi="仿宋" w:eastAsia="仿宋"/>
          <w:color w:val="auto"/>
          <w:kern w:val="2"/>
          <w:sz w:val="28"/>
          <w:szCs w:val="28"/>
        </w:rPr>
      </w:pPr>
      <w:r>
        <w:rPr>
          <w:rFonts w:hint="eastAsia" w:ascii="仿宋" w:hAnsi="仿宋" w:eastAsia="仿宋"/>
          <w:color w:val="auto"/>
          <w:kern w:val="2"/>
          <w:sz w:val="28"/>
          <w:szCs w:val="28"/>
        </w:rPr>
        <w:t>（五）采购内容：</w:t>
      </w:r>
    </w:p>
    <w:p>
      <w:pPr>
        <w:pStyle w:val="7"/>
        <w:spacing w:line="360" w:lineRule="auto"/>
        <w:ind w:firstLine="560" w:firstLineChars="200"/>
        <w:rPr>
          <w:rFonts w:ascii="仿宋" w:hAnsi="仿宋" w:eastAsia="仿宋"/>
          <w:color w:val="auto"/>
          <w:sz w:val="28"/>
          <w:szCs w:val="28"/>
          <w:u w:val="single"/>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.项目预算金额：</w:t>
      </w:r>
      <w:r>
        <w:rPr>
          <w:rFonts w:hint="eastAsia" w:ascii="仿宋" w:hAnsi="仿宋" w:eastAsia="仿宋"/>
          <w:color w:val="auto"/>
          <w:sz w:val="28"/>
          <w:szCs w:val="28"/>
          <w:lang w:val="en-US" w:eastAsia="zh-CN"/>
        </w:rPr>
        <w:t>无固定价格。</w:t>
      </w:r>
    </w:p>
    <w:p>
      <w:pPr>
        <w:pStyle w:val="7"/>
        <w:spacing w:line="360" w:lineRule="auto"/>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w:t>
      </w:r>
      <w:r>
        <w:rPr>
          <w:rFonts w:hint="eastAsia" w:ascii="仿宋" w:hAnsi="仿宋" w:eastAsia="仿宋"/>
          <w:color w:val="auto"/>
          <w:sz w:val="28"/>
          <w:szCs w:val="28"/>
        </w:rPr>
        <w:t>.</w:t>
      </w:r>
      <w:r>
        <w:rPr>
          <w:rFonts w:hint="eastAsia" w:ascii="仿宋" w:hAnsi="仿宋" w:eastAsia="仿宋"/>
          <w:color w:val="auto"/>
          <w:sz w:val="28"/>
          <w:szCs w:val="28"/>
          <w:lang w:val="en-US" w:eastAsia="zh-CN"/>
        </w:rPr>
        <w:t>供货周期</w:t>
      </w:r>
      <w:r>
        <w:rPr>
          <w:rFonts w:hint="eastAsia" w:ascii="仿宋" w:hAnsi="仿宋" w:eastAsia="仿宋"/>
          <w:color w:val="auto"/>
          <w:sz w:val="28"/>
          <w:szCs w:val="28"/>
        </w:rPr>
        <w:t>：</w:t>
      </w:r>
      <w:r>
        <w:rPr>
          <w:rFonts w:hint="eastAsia" w:ascii="仿宋" w:hAnsi="仿宋" w:eastAsia="仿宋"/>
          <w:color w:val="auto"/>
          <w:sz w:val="28"/>
          <w:szCs w:val="28"/>
          <w:highlight w:val="yellow"/>
          <w:lang w:val="en-US" w:eastAsia="zh-CN"/>
        </w:rPr>
        <w:t>按需供货，供货总周期1年。</w:t>
      </w:r>
    </w:p>
    <w:p>
      <w:pPr>
        <w:pStyle w:val="7"/>
        <w:spacing w:line="360" w:lineRule="auto"/>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3.服务内容：</w:t>
      </w:r>
      <w:r>
        <w:rPr>
          <w:rFonts w:hint="eastAsia" w:ascii="仿宋" w:hAnsi="仿宋" w:eastAsia="仿宋" w:cs="仿宋"/>
          <w:color w:val="auto"/>
          <w:kern w:val="0"/>
          <w:sz w:val="28"/>
          <w:szCs w:val="28"/>
          <w:lang w:val="en-US" w:eastAsia="zh-CN"/>
        </w:rPr>
        <w:t>按照招标文件提供酒店消耗品、部分电器等物品及售后服务。</w:t>
      </w:r>
    </w:p>
    <w:p>
      <w:pPr>
        <w:pStyle w:val="7"/>
        <w:spacing w:line="360" w:lineRule="auto"/>
        <w:ind w:firstLine="561" w:firstLineChars="200"/>
        <w:rPr>
          <w:rFonts w:hint="eastAsia" w:ascii="仿宋" w:hAnsi="仿宋" w:eastAsia="仿宋" w:cs="Times New Roman"/>
          <w:b/>
          <w:bCs/>
          <w:color w:val="auto"/>
          <w:kern w:val="0"/>
          <w:sz w:val="28"/>
          <w:szCs w:val="28"/>
          <w:lang w:val="en-US" w:eastAsia="zh-CN" w:bidi="ar-SA"/>
        </w:rPr>
      </w:pPr>
      <w:r>
        <w:rPr>
          <w:rFonts w:hint="eastAsia" w:ascii="仿宋" w:hAnsi="仿宋" w:eastAsia="仿宋" w:cs="Times New Roman"/>
          <w:b/>
          <w:bCs/>
          <w:color w:val="auto"/>
          <w:kern w:val="0"/>
          <w:sz w:val="28"/>
          <w:szCs w:val="28"/>
          <w:lang w:val="en-US" w:eastAsia="zh-CN" w:bidi="ar-SA"/>
        </w:rPr>
        <w:t>二、供应商的资格要求</w:t>
      </w:r>
    </w:p>
    <w:p>
      <w:pPr>
        <w:spacing w:line="360" w:lineRule="auto"/>
        <w:ind w:firstLine="560" w:firstLineChars="200"/>
        <w:rPr>
          <w:rFonts w:hint="eastAsia" w:ascii="仿宋" w:hAnsi="仿宋" w:eastAsia="仿宋"/>
          <w:color w:val="auto"/>
          <w:sz w:val="28"/>
          <w:szCs w:val="28"/>
        </w:rPr>
      </w:pPr>
      <w:r>
        <w:rPr>
          <w:rFonts w:hint="eastAsia" w:ascii="仿宋" w:hAnsi="仿宋" w:eastAsia="仿宋"/>
          <w:color w:val="auto"/>
          <w:sz w:val="28"/>
          <w:szCs w:val="28"/>
        </w:rPr>
        <w:t>（一）供应商应符合《中华人民共和国政府采购法》第二十二条规定的条件；</w:t>
      </w:r>
    </w:p>
    <w:p>
      <w:pPr>
        <w:overflowPunct w:val="0"/>
        <w:spacing w:line="360" w:lineRule="auto"/>
        <w:ind w:firstLine="560" w:firstLineChars="200"/>
        <w:rPr>
          <w:rFonts w:hint="default" w:ascii="仿宋" w:hAnsi="仿宋" w:eastAsia="仿宋" w:cs="Calibri"/>
          <w:b w:val="0"/>
          <w:color w:val="auto"/>
          <w:kern w:val="2"/>
          <w:sz w:val="28"/>
          <w:szCs w:val="28"/>
          <w:lang w:val="en-US" w:eastAsia="zh-CN" w:bidi="ar-SA"/>
        </w:rPr>
      </w:pPr>
      <w:r>
        <w:rPr>
          <w:rFonts w:hint="eastAsia" w:ascii="仿宋" w:hAnsi="仿宋" w:eastAsia="仿宋" w:cs="Calibri"/>
          <w:b w:val="0"/>
          <w:color w:val="auto"/>
          <w:kern w:val="2"/>
          <w:sz w:val="28"/>
          <w:szCs w:val="28"/>
          <w:lang w:val="en-US" w:eastAsia="zh-CN" w:bidi="ar-SA"/>
        </w:rPr>
        <w:t>（二）</w:t>
      </w:r>
      <w:r>
        <w:rPr>
          <w:rFonts w:hint="eastAsia" w:ascii="仿宋" w:hAnsi="仿宋" w:eastAsia="仿宋"/>
          <w:color w:val="auto"/>
          <w:sz w:val="28"/>
          <w:szCs w:val="28"/>
          <w:lang w:val="en-US" w:eastAsia="zh-CN"/>
        </w:rPr>
        <w:t>应有酒店用品销售等经营许可或酒店用品相关厂家授权销售等证件。</w:t>
      </w:r>
    </w:p>
    <w:p>
      <w:pPr>
        <w:pStyle w:val="4"/>
        <w:spacing w:line="360" w:lineRule="auto"/>
        <w:ind w:firstLine="561" w:firstLineChars="200"/>
        <w:rPr>
          <w:rFonts w:ascii="仿宋" w:hAnsi="仿宋" w:eastAsia="仿宋"/>
          <w:color w:val="auto"/>
          <w:sz w:val="28"/>
          <w:szCs w:val="28"/>
        </w:rPr>
      </w:pPr>
      <w:bookmarkStart w:id="4" w:name="_Toc15868"/>
      <w:r>
        <w:rPr>
          <w:rFonts w:hint="eastAsia" w:ascii="仿宋" w:hAnsi="仿宋" w:eastAsia="仿宋"/>
          <w:color w:val="auto"/>
          <w:sz w:val="28"/>
          <w:szCs w:val="28"/>
        </w:rPr>
        <w:t>三、获取采购文件的时间、地点、方式</w:t>
      </w:r>
      <w:bookmarkEnd w:id="4"/>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_GB2312" w:eastAsia="仿宋_GB2312"/>
          <w:color w:val="auto"/>
          <w:sz w:val="32"/>
          <w:szCs w:val="32"/>
          <w:lang w:val="en-US" w:eastAsia="zh-CN"/>
        </w:rPr>
      </w:pPr>
      <w:r>
        <w:rPr>
          <w:rFonts w:hint="eastAsia" w:ascii="仿宋" w:hAnsi="仿宋" w:eastAsia="仿宋" w:cs="Calibri"/>
          <w:color w:val="auto"/>
          <w:kern w:val="2"/>
          <w:sz w:val="28"/>
          <w:szCs w:val="28"/>
          <w:lang w:val="en-US" w:eastAsia="zh-CN" w:bidi="ar-SA"/>
        </w:rPr>
        <w:t>符合上述条件的供应商可于2023年7月3日起登录鄂尔多斯机场管理集团有限公司网站页面（网址：</w:t>
      </w:r>
      <w:r>
        <w:rPr>
          <w:rFonts w:hint="eastAsia" w:ascii="仿宋" w:hAnsi="仿宋" w:eastAsia="仿宋" w:cs="Calibri"/>
          <w:color w:val="auto"/>
          <w:kern w:val="2"/>
          <w:sz w:val="28"/>
          <w:szCs w:val="28"/>
          <w:lang w:val="en-US" w:eastAsia="zh-CN" w:bidi="ar-SA"/>
        </w:rPr>
        <w:fldChar w:fldCharType="begin"/>
      </w:r>
      <w:r>
        <w:rPr>
          <w:rFonts w:hint="eastAsia" w:ascii="仿宋" w:hAnsi="仿宋" w:eastAsia="仿宋" w:cs="Calibri"/>
          <w:color w:val="auto"/>
          <w:kern w:val="2"/>
          <w:sz w:val="28"/>
          <w:szCs w:val="28"/>
          <w:lang w:val="en-US" w:eastAsia="zh-CN" w:bidi="ar-SA"/>
        </w:rPr>
        <w:instrText xml:space="preserve"> HYPERLINK "http://ordosairport.com/），点击\“公告\”栏中的\“招标信息\”栏，查询采购信息，点击信息公告页面左下角\“附件\”即可浏览、下载采购文件" </w:instrText>
      </w:r>
      <w:r>
        <w:rPr>
          <w:rFonts w:hint="eastAsia" w:ascii="仿宋" w:hAnsi="仿宋" w:eastAsia="仿宋" w:cs="Calibri"/>
          <w:color w:val="auto"/>
          <w:kern w:val="2"/>
          <w:sz w:val="28"/>
          <w:szCs w:val="28"/>
          <w:lang w:val="en-US" w:eastAsia="zh-CN" w:bidi="ar-SA"/>
        </w:rPr>
        <w:fldChar w:fldCharType="separate"/>
      </w:r>
      <w:r>
        <w:rPr>
          <w:rFonts w:hint="eastAsia" w:ascii="仿宋" w:hAnsi="仿宋" w:eastAsia="仿宋" w:cs="Calibri"/>
          <w:color w:val="auto"/>
          <w:kern w:val="2"/>
          <w:sz w:val="28"/>
          <w:szCs w:val="28"/>
          <w:lang w:val="en-US" w:eastAsia="zh-CN" w:bidi="ar-SA"/>
        </w:rPr>
        <w:t>http://ordosairport.com/），点击“公告”栏中的“招标信息”栏，查询采购信息，点击信息公告页面左下角“附件”即可浏览、下载采购文件</w:t>
      </w:r>
      <w:r>
        <w:rPr>
          <w:rFonts w:hint="eastAsia" w:ascii="仿宋" w:hAnsi="仿宋" w:eastAsia="仿宋" w:cs="Calibri"/>
          <w:color w:val="auto"/>
          <w:kern w:val="2"/>
          <w:sz w:val="28"/>
          <w:szCs w:val="28"/>
          <w:lang w:val="en-US" w:eastAsia="zh-CN" w:bidi="ar-SA"/>
        </w:rPr>
        <w:fldChar w:fldCharType="end"/>
      </w:r>
      <w:r>
        <w:rPr>
          <w:rFonts w:hint="eastAsia" w:ascii="仿宋_GB2312"/>
          <w:color w:val="auto"/>
          <w:sz w:val="32"/>
          <w:szCs w:val="32"/>
          <w:lang w:val="en-US" w:eastAsia="zh-CN"/>
        </w:rPr>
        <w:t>。</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1" w:firstLineChars="200"/>
        <w:jc w:val="both"/>
        <w:textAlignment w:val="auto"/>
        <w:rPr>
          <w:rFonts w:hint="eastAsia" w:ascii="仿宋" w:hAnsi="仿宋" w:eastAsia="仿宋" w:cs="Times New Roman"/>
          <w:b/>
          <w:bCs/>
          <w:color w:val="auto"/>
          <w:kern w:val="0"/>
          <w:sz w:val="28"/>
          <w:szCs w:val="28"/>
          <w:lang w:val="en-US" w:eastAsia="zh-CN" w:bidi="ar-SA"/>
        </w:rPr>
      </w:pPr>
      <w:r>
        <w:rPr>
          <w:rFonts w:hint="eastAsia" w:ascii="仿宋" w:hAnsi="仿宋" w:eastAsia="仿宋" w:cs="Times New Roman"/>
          <w:b/>
          <w:bCs/>
          <w:color w:val="auto"/>
          <w:kern w:val="0"/>
          <w:sz w:val="28"/>
          <w:szCs w:val="28"/>
          <w:lang w:val="en-US" w:eastAsia="zh-CN" w:bidi="ar-SA"/>
        </w:rPr>
        <w:t>四、递交响应文件截止（评标）时间、地点</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1.</w:t>
      </w:r>
      <w:r>
        <w:rPr>
          <w:rFonts w:hint="default" w:ascii="仿宋" w:hAnsi="仿宋" w:eastAsia="仿宋" w:cs="仿宋"/>
          <w:kern w:val="2"/>
          <w:sz w:val="28"/>
          <w:szCs w:val="28"/>
          <w:lang w:val="en-US" w:eastAsia="zh-CN" w:bidi="ar"/>
        </w:rPr>
        <w:t>点击信息公告页面正下方蓝色栏“我要报名”，填写准确的企业信息，报名截止时间</w:t>
      </w:r>
      <w:r>
        <w:rPr>
          <w:rFonts w:hint="eastAsia" w:ascii="仿宋" w:hAnsi="仿宋" w:eastAsia="仿宋" w:cs="Calibri"/>
          <w:color w:val="auto"/>
          <w:kern w:val="2"/>
          <w:sz w:val="28"/>
          <w:szCs w:val="28"/>
          <w:lang w:val="en-US" w:eastAsia="zh-CN" w:bidi="ar-SA"/>
        </w:rPr>
        <w:t>：2023年7月10日下午16:00。</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default"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2.递交响应文件截止（评标）时间：2023年7月11日上午09:30。</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3.响应文件接收及评标地点：鄂尔多斯飞机场综合办公楼2楼208室。</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4.联系方式</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default"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联系人：尉迟先生，联系电话：0477-3855615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5.投标人应遵守鄂尔多斯机场综合办公楼外来人员来访相关要求，进入招标人所属楼宇需主动登记人员信息，</w:t>
      </w:r>
      <w:r>
        <w:rPr>
          <w:rFonts w:hint="default" w:ascii="仿宋" w:hAnsi="仿宋" w:eastAsia="仿宋" w:cs="Calibri"/>
          <w:color w:val="auto"/>
          <w:kern w:val="2"/>
          <w:sz w:val="28"/>
          <w:szCs w:val="28"/>
          <w:lang w:val="en-US" w:eastAsia="zh-CN" w:bidi="ar-SA"/>
        </w:rPr>
        <w:t>登记后</w:t>
      </w:r>
      <w:r>
        <w:rPr>
          <w:rFonts w:hint="eastAsia" w:ascii="仿宋" w:hAnsi="仿宋" w:eastAsia="仿宋" w:cs="Calibri"/>
          <w:color w:val="auto"/>
          <w:kern w:val="2"/>
          <w:sz w:val="28"/>
          <w:szCs w:val="28"/>
          <w:lang w:val="en-US" w:eastAsia="zh-CN" w:bidi="ar-SA"/>
        </w:rPr>
        <w:t>自行到指定招标室进行开标。</w:t>
      </w:r>
    </w:p>
    <w:p>
      <w:pPr>
        <w:shd w:val="clear"/>
        <w:spacing w:line="360" w:lineRule="auto"/>
        <w:ind w:firstLine="560" w:firstLineChars="200"/>
        <w:textAlignment w:val="baseline"/>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pStyle w:val="6"/>
        <w:rPr>
          <w:rFonts w:hint="eastAsia"/>
          <w:color w:val="auto"/>
          <w:lang w:val="en-US" w:eastAsia="zh-CN"/>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pacing w:line="360" w:lineRule="auto"/>
        <w:rPr>
          <w:rFonts w:hint="eastAsia" w:ascii="仿宋" w:hAnsi="仿宋" w:eastAsia="仿宋" w:cs="Calibri"/>
          <w:color w:val="auto"/>
          <w:kern w:val="2"/>
          <w:sz w:val="28"/>
          <w:szCs w:val="28"/>
          <w:lang w:val="en-US" w:eastAsia="zh-CN" w:bidi="ar-SA"/>
        </w:rPr>
      </w:pPr>
    </w:p>
    <w:p>
      <w:pPr>
        <w:spacing w:line="360" w:lineRule="auto"/>
        <w:rPr>
          <w:rFonts w:ascii="仿宋" w:hAnsi="仿宋" w:eastAsia="仿宋"/>
          <w:color w:val="auto"/>
          <w:sz w:val="28"/>
          <w:szCs w:val="28"/>
        </w:rPr>
      </w:pPr>
    </w:p>
    <w:p>
      <w:pPr>
        <w:spacing w:line="360" w:lineRule="auto"/>
        <w:rPr>
          <w:rFonts w:ascii="仿宋" w:hAnsi="仿宋" w:eastAsia="仿宋"/>
          <w:color w:val="auto"/>
          <w:sz w:val="28"/>
          <w:szCs w:val="28"/>
        </w:rPr>
      </w:pPr>
    </w:p>
    <w:p>
      <w:pPr>
        <w:spacing w:line="360" w:lineRule="auto"/>
        <w:rPr>
          <w:rFonts w:ascii="仿宋" w:hAnsi="仿宋" w:eastAsia="仿宋"/>
          <w:color w:val="auto"/>
          <w:sz w:val="28"/>
          <w:szCs w:val="28"/>
        </w:rPr>
      </w:pPr>
    </w:p>
    <w:p>
      <w:pPr>
        <w:pStyle w:val="3"/>
        <w:spacing w:line="360" w:lineRule="auto"/>
        <w:rPr>
          <w:rFonts w:ascii="仿宋" w:hAnsi="仿宋" w:eastAsia="仿宋"/>
          <w:color w:val="auto"/>
        </w:rPr>
      </w:pPr>
      <w:bookmarkStart w:id="5" w:name="_Toc27556"/>
      <w:bookmarkStart w:id="6" w:name="_Toc4565"/>
      <w:r>
        <w:rPr>
          <w:rFonts w:hint="eastAsia" w:ascii="仿宋" w:hAnsi="仿宋" w:eastAsia="仿宋"/>
          <w:color w:val="auto"/>
        </w:rPr>
        <w:t>第二章</w:t>
      </w:r>
      <w:r>
        <w:rPr>
          <w:rFonts w:ascii="仿宋" w:hAnsi="仿宋" w:eastAsia="仿宋"/>
          <w:color w:val="auto"/>
        </w:rPr>
        <w:t xml:space="preserve"> </w:t>
      </w:r>
      <w:r>
        <w:rPr>
          <w:rFonts w:hint="eastAsia" w:ascii="仿宋" w:hAnsi="仿宋" w:eastAsia="仿宋"/>
          <w:color w:val="auto"/>
        </w:rPr>
        <w:t>采购内容与技术要求</w:t>
      </w:r>
      <w:bookmarkEnd w:id="5"/>
      <w:bookmarkEnd w:id="6"/>
    </w:p>
    <w:p>
      <w:pPr>
        <w:spacing w:line="360" w:lineRule="auto"/>
        <w:ind w:firstLine="561" w:firstLineChars="200"/>
        <w:jc w:val="left"/>
        <w:outlineLvl w:val="1"/>
        <w:rPr>
          <w:rFonts w:ascii="仿宋" w:hAnsi="仿宋" w:eastAsia="仿宋" w:cs="Cambria"/>
          <w:b/>
          <w:bCs/>
          <w:color w:val="auto"/>
          <w:kern w:val="0"/>
          <w:sz w:val="28"/>
          <w:szCs w:val="32"/>
        </w:rPr>
      </w:pPr>
      <w:bookmarkStart w:id="7" w:name="_Toc11710"/>
      <w:r>
        <w:rPr>
          <w:rFonts w:hint="eastAsia" w:ascii="仿宋" w:hAnsi="仿宋" w:eastAsia="仿宋" w:cs="Cambria"/>
          <w:b/>
          <w:bCs/>
          <w:color w:val="auto"/>
          <w:kern w:val="0"/>
          <w:sz w:val="28"/>
          <w:szCs w:val="32"/>
        </w:rPr>
        <w:t>一、适用范围</w:t>
      </w:r>
      <w:bookmarkEnd w:id="7"/>
    </w:p>
    <w:p>
      <w:pPr>
        <w:spacing w:line="360" w:lineRule="auto"/>
        <w:ind w:firstLine="560" w:firstLineChars="200"/>
        <w:jc w:val="left"/>
        <w:rPr>
          <w:rFonts w:hint="eastAsia" w:ascii="仿宋" w:hAnsi="仿宋" w:eastAsia="仿宋"/>
          <w:color w:val="auto"/>
          <w:sz w:val="28"/>
          <w:szCs w:val="28"/>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本招标文件仅适用于本次招标公告中所涉及的项目和内容。</w:t>
      </w:r>
    </w:p>
    <w:p>
      <w:pPr>
        <w:spacing w:line="360" w:lineRule="auto"/>
        <w:ind w:firstLine="560" w:firstLineChars="200"/>
        <w:jc w:val="left"/>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2.标的物为参考物品，投标人所提供物品不得低于本项目标的物要求。</w:t>
      </w:r>
    </w:p>
    <w:p>
      <w:pPr>
        <w:numPr>
          <w:ilvl w:val="0"/>
          <w:numId w:val="1"/>
        </w:numPr>
        <w:spacing w:line="360" w:lineRule="auto"/>
        <w:ind w:firstLine="561" w:firstLineChars="200"/>
        <w:jc w:val="left"/>
        <w:outlineLvl w:val="1"/>
        <w:rPr>
          <w:rFonts w:hint="eastAsia" w:ascii="仿宋" w:hAnsi="仿宋" w:eastAsia="仿宋" w:cs="Cambria"/>
          <w:b/>
          <w:bCs/>
          <w:color w:val="auto"/>
          <w:kern w:val="0"/>
          <w:sz w:val="28"/>
          <w:szCs w:val="32"/>
        </w:rPr>
      </w:pPr>
      <w:bookmarkStart w:id="8" w:name="_Toc406421928"/>
      <w:bookmarkStart w:id="9" w:name="_Toc8092"/>
      <w:r>
        <w:rPr>
          <w:rFonts w:hint="eastAsia" w:ascii="仿宋" w:hAnsi="仿宋" w:eastAsia="仿宋" w:cs="Cambria"/>
          <w:b/>
          <w:bCs/>
          <w:color w:val="auto"/>
          <w:kern w:val="0"/>
          <w:sz w:val="28"/>
          <w:szCs w:val="32"/>
        </w:rPr>
        <w:t>项目说明</w:t>
      </w:r>
      <w:bookmarkEnd w:id="8"/>
      <w:bookmarkEnd w:id="9"/>
    </w:p>
    <w:p>
      <w:pPr>
        <w:pStyle w:val="6"/>
        <w:numPr>
          <w:ilvl w:val="0"/>
          <w:numId w:val="0"/>
        </w:numPr>
        <w:ind w:firstLine="561" w:firstLineChars="200"/>
        <w:jc w:val="both"/>
        <w:rPr>
          <w:rFonts w:hint="default" w:ascii="仿宋" w:hAnsi="仿宋" w:eastAsia="仿宋" w:cs="Calibri"/>
          <w:b/>
          <w:bCs/>
          <w:color w:val="auto"/>
          <w:kern w:val="2"/>
          <w:sz w:val="28"/>
          <w:szCs w:val="28"/>
          <w:lang w:val="en-US" w:eastAsia="zh-CN" w:bidi="ar-SA"/>
        </w:rPr>
      </w:pPr>
      <w:r>
        <w:rPr>
          <w:rFonts w:hint="eastAsia" w:ascii="仿宋" w:hAnsi="仿宋" w:eastAsia="仿宋" w:cs="Calibri"/>
          <w:b/>
          <w:bCs/>
          <w:color w:val="auto"/>
          <w:kern w:val="2"/>
          <w:sz w:val="28"/>
          <w:szCs w:val="28"/>
          <w:lang w:val="en-US" w:eastAsia="zh-CN" w:bidi="ar-SA"/>
        </w:rPr>
        <w:t>（一）基本情况</w:t>
      </w:r>
    </w:p>
    <w:p>
      <w:pPr>
        <w:spacing w:line="360" w:lineRule="auto"/>
        <w:ind w:firstLine="560" w:firstLineChars="200"/>
        <w:jc w:val="left"/>
        <w:rPr>
          <w:rFonts w:hint="eastAsia" w:ascii="仿宋" w:hAnsi="仿宋" w:eastAsia="仿宋"/>
          <w:color w:val="auto"/>
          <w:sz w:val="28"/>
          <w:szCs w:val="28"/>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项目基本情况：本项目为</w:t>
      </w:r>
      <w:r>
        <w:rPr>
          <w:rFonts w:hint="eastAsia" w:ascii="仿宋" w:hAnsi="仿宋" w:eastAsia="仿宋"/>
          <w:color w:val="auto"/>
          <w:sz w:val="28"/>
          <w:szCs w:val="28"/>
          <w:lang w:val="en-US" w:eastAsia="zh-CN"/>
        </w:rPr>
        <w:t>一包，不可分包</w:t>
      </w:r>
      <w:r>
        <w:rPr>
          <w:rFonts w:hint="eastAsia" w:ascii="仿宋" w:hAnsi="仿宋" w:eastAsia="仿宋"/>
          <w:color w:val="auto"/>
          <w:sz w:val="28"/>
          <w:szCs w:val="28"/>
        </w:rPr>
        <w:t>。</w:t>
      </w:r>
    </w:p>
    <w:p>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2.发票要求：增值税专用发票。</w:t>
      </w:r>
    </w:p>
    <w:p>
      <w:pPr>
        <w:spacing w:line="360" w:lineRule="auto"/>
        <w:ind w:firstLine="560" w:firstLineChars="200"/>
        <w:jc w:val="left"/>
        <w:rPr>
          <w:rFonts w:hint="eastAsia" w:ascii="仿宋" w:hAnsi="仿宋" w:eastAsia="仿宋"/>
          <w:color w:val="auto"/>
          <w:sz w:val="28"/>
          <w:szCs w:val="28"/>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付款方式：</w:t>
      </w:r>
      <w:r>
        <w:rPr>
          <w:rFonts w:hint="eastAsia" w:ascii="仿宋" w:hAnsi="仿宋" w:eastAsia="仿宋" w:cs="仿宋"/>
          <w:color w:val="auto"/>
          <w:sz w:val="28"/>
          <w:szCs w:val="28"/>
        </w:rPr>
        <w:t>在收到中标方提供货物与发票后15</w:t>
      </w:r>
      <w:r>
        <w:rPr>
          <w:rFonts w:hint="eastAsia" w:ascii="仿宋" w:hAnsi="仿宋" w:eastAsia="仿宋" w:cs="仿宋"/>
          <w:color w:val="auto"/>
          <w:sz w:val="28"/>
          <w:szCs w:val="28"/>
          <w:lang w:val="en-US" w:eastAsia="zh-CN"/>
        </w:rPr>
        <w:t>工作</w:t>
      </w:r>
      <w:r>
        <w:rPr>
          <w:rFonts w:hint="eastAsia" w:ascii="仿宋" w:hAnsi="仿宋" w:eastAsia="仿宋" w:cs="仿宋"/>
          <w:color w:val="auto"/>
          <w:sz w:val="28"/>
          <w:szCs w:val="28"/>
        </w:rPr>
        <w:t>日内向中标方</w:t>
      </w:r>
      <w:r>
        <w:rPr>
          <w:rFonts w:hint="eastAsia" w:ascii="仿宋" w:hAnsi="仿宋" w:eastAsia="仿宋" w:cs="仿宋"/>
          <w:color w:val="auto"/>
          <w:sz w:val="28"/>
          <w:szCs w:val="28"/>
          <w:lang w:val="en-US" w:eastAsia="zh-CN"/>
        </w:rPr>
        <w:t>支付当批次提供货物的款项</w:t>
      </w:r>
      <w:r>
        <w:rPr>
          <w:rFonts w:hint="eastAsia" w:ascii="仿宋" w:hAnsi="仿宋" w:eastAsia="仿宋"/>
          <w:color w:val="auto"/>
          <w:sz w:val="28"/>
          <w:szCs w:val="28"/>
        </w:rPr>
        <w:t>。</w:t>
      </w:r>
    </w:p>
    <w:p>
      <w:pPr>
        <w:spacing w:line="360" w:lineRule="auto"/>
        <w:ind w:firstLine="560" w:firstLineChars="200"/>
        <w:jc w:val="left"/>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4.质保期：1年（当次所送货物）。</w:t>
      </w:r>
    </w:p>
    <w:p>
      <w:pPr>
        <w:pStyle w:val="2"/>
        <w:ind w:left="0" w:leftChars="0" w:firstLine="560" w:firstLineChars="200"/>
        <w:rPr>
          <w:rFonts w:hint="default"/>
          <w:highlight w:val="yellow"/>
          <w:lang w:val="en-US" w:eastAsia="zh-CN"/>
        </w:rPr>
      </w:pPr>
      <w:r>
        <w:rPr>
          <w:rFonts w:hint="eastAsia" w:ascii="仿宋" w:hAnsi="仿宋" w:eastAsia="仿宋"/>
          <w:color w:val="auto"/>
          <w:sz w:val="28"/>
          <w:szCs w:val="28"/>
          <w:highlight w:val="yellow"/>
          <w:lang w:val="en-US" w:eastAsia="zh-CN"/>
        </w:rPr>
        <w:t>5.供货周期：按需供货（每年不超4次）。</w:t>
      </w:r>
    </w:p>
    <w:p>
      <w:pPr>
        <w:spacing w:line="360" w:lineRule="auto"/>
        <w:ind w:firstLine="561" w:firstLineChars="200"/>
        <w:jc w:val="left"/>
        <w:rPr>
          <w:rFonts w:hint="eastAsia" w:ascii="仿宋" w:hAnsi="仿宋" w:eastAsia="仿宋"/>
          <w:color w:val="auto"/>
          <w:sz w:val="28"/>
          <w:szCs w:val="28"/>
          <w:lang w:val="en-US" w:eastAsia="zh-CN"/>
        </w:rPr>
      </w:pPr>
      <w:r>
        <w:rPr>
          <w:rFonts w:hint="eastAsia" w:ascii="仿宋" w:hAnsi="仿宋" w:eastAsia="仿宋" w:cs="Calibri"/>
          <w:b/>
          <w:bCs/>
          <w:color w:val="auto"/>
          <w:kern w:val="2"/>
          <w:sz w:val="28"/>
          <w:szCs w:val="28"/>
          <w:lang w:val="en-US" w:eastAsia="zh-CN" w:bidi="ar-SA"/>
        </w:rPr>
        <w:t>（二）供货清单（此项为预估一年使用量）</w:t>
      </w:r>
    </w:p>
    <w:p>
      <w:pPr>
        <w:spacing w:line="360" w:lineRule="auto"/>
        <w:ind w:firstLine="561" w:firstLineChars="200"/>
        <w:jc w:val="left"/>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1.六小件等消耗品</w:t>
      </w:r>
    </w:p>
    <w:tbl>
      <w:tblPr>
        <w:tblStyle w:val="14"/>
        <w:tblW w:w="987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0"/>
        <w:gridCol w:w="1138"/>
        <w:gridCol w:w="2266"/>
        <w:gridCol w:w="1540"/>
        <w:gridCol w:w="816"/>
        <w:gridCol w:w="494"/>
        <w:gridCol w:w="879"/>
        <w:gridCol w:w="516"/>
        <w:gridCol w:w="857"/>
        <w:gridCol w:w="8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序号</w:t>
            </w:r>
          </w:p>
        </w:tc>
        <w:tc>
          <w:tcPr>
            <w:tcW w:w="11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品目</w:t>
            </w:r>
          </w:p>
        </w:tc>
        <w:tc>
          <w:tcPr>
            <w:tcW w:w="22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w:t>
            </w:r>
          </w:p>
        </w:tc>
        <w:tc>
          <w:tcPr>
            <w:tcW w:w="15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图片</w:t>
            </w:r>
          </w:p>
        </w:tc>
        <w:tc>
          <w:tcPr>
            <w:tcW w:w="8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数量</w:t>
            </w:r>
          </w:p>
        </w:tc>
        <w:tc>
          <w:tcPr>
            <w:tcW w:w="4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单位</w:t>
            </w:r>
          </w:p>
        </w:tc>
        <w:tc>
          <w:tcPr>
            <w:tcW w:w="8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单价（含税）</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税率</w:t>
            </w:r>
          </w:p>
        </w:tc>
        <w:tc>
          <w:tcPr>
            <w:tcW w:w="8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总价（含税）</w:t>
            </w:r>
          </w:p>
        </w:tc>
        <w:tc>
          <w:tcPr>
            <w:tcW w:w="8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1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2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4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1</w:t>
            </w:r>
          </w:p>
        </w:tc>
        <w:tc>
          <w:tcPr>
            <w:tcW w:w="1138"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洗发露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（35ML）</w:t>
            </w:r>
          </w:p>
        </w:tc>
        <w:tc>
          <w:tcPr>
            <w:tcW w:w="226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白茶香氛、纯天然植物等提取物，35mlPET瓶体，黑色铝盖，不干胶标签。</w:t>
            </w:r>
          </w:p>
        </w:tc>
        <w:tc>
          <w:tcPr>
            <w:tcW w:w="1540"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drawing>
                <wp:anchor distT="0" distB="0" distL="114300" distR="114300" simplePos="0" relativeHeight="251659264" behindDoc="0" locked="0" layoutInCell="1" allowOverlap="1">
                  <wp:simplePos x="0" y="0"/>
                  <wp:positionH relativeFrom="column">
                    <wp:posOffset>-37465</wp:posOffset>
                  </wp:positionH>
                  <wp:positionV relativeFrom="paragraph">
                    <wp:posOffset>75565</wp:posOffset>
                  </wp:positionV>
                  <wp:extent cx="890905" cy="993775"/>
                  <wp:effectExtent l="0" t="0" r="4445" b="15875"/>
                  <wp:wrapNone/>
                  <wp:docPr id="1" name="图片_1"/>
                  <wp:cNvGraphicFramePr/>
                  <a:graphic xmlns:a="http://schemas.openxmlformats.org/drawingml/2006/main">
                    <a:graphicData uri="http://schemas.openxmlformats.org/drawingml/2006/picture">
                      <pic:pic xmlns:pic="http://schemas.openxmlformats.org/drawingml/2006/picture">
                        <pic:nvPicPr>
                          <pic:cNvPr id="1" name="图片_1"/>
                          <pic:cNvPicPr/>
                        </pic:nvPicPr>
                        <pic:blipFill>
                          <a:blip r:embed="rId6"/>
                          <a:stretch>
                            <a:fillRect/>
                          </a:stretch>
                        </pic:blipFill>
                        <pic:spPr>
                          <a:xfrm>
                            <a:off x="0" y="0"/>
                            <a:ext cx="890905" cy="993775"/>
                          </a:xfrm>
                          <a:prstGeom prst="rect">
                            <a:avLst/>
                          </a:prstGeom>
                          <a:noFill/>
                          <a:ln>
                            <a:noFill/>
                          </a:ln>
                        </pic:spPr>
                      </pic:pic>
                    </a:graphicData>
                  </a:graphic>
                </wp:anchor>
              </w:drawing>
            </w:r>
          </w:p>
        </w:tc>
        <w:tc>
          <w:tcPr>
            <w:tcW w:w="8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5000</w:t>
            </w:r>
          </w:p>
        </w:tc>
        <w:tc>
          <w:tcPr>
            <w:tcW w:w="494"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8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图片仅供参考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2</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沐浴露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（35ML）</w:t>
            </w:r>
          </w:p>
        </w:tc>
        <w:tc>
          <w:tcPr>
            <w:tcW w:w="226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白茶香氛、纯天然植物等提取物，35mlPET瓶体，黑色铝盖，不干胶标签。</w:t>
            </w:r>
          </w:p>
        </w:tc>
        <w:tc>
          <w:tcPr>
            <w:tcW w:w="1540"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8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图片仅供参考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3</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润肤露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（35ML）</w:t>
            </w:r>
          </w:p>
        </w:tc>
        <w:tc>
          <w:tcPr>
            <w:tcW w:w="226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白茶香氛、纯天然植物等提取物，35mlPET瓶体，黑色铝盖，不干胶标签。</w:t>
            </w:r>
          </w:p>
        </w:tc>
        <w:tc>
          <w:tcPr>
            <w:tcW w:w="1540"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4000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8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图片仅供参考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4</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护发素</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（35ML）</w:t>
            </w:r>
          </w:p>
        </w:tc>
        <w:tc>
          <w:tcPr>
            <w:tcW w:w="226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白茶香氛、纯天然植物等提取物，35mlPET瓶体，黑色铝盖，不干胶标签。</w:t>
            </w:r>
          </w:p>
        </w:tc>
        <w:tc>
          <w:tcPr>
            <w:tcW w:w="1540"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4000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8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图片仅供参考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5</w:t>
            </w:r>
          </w:p>
        </w:tc>
        <w:tc>
          <w:tcPr>
            <w:tcW w:w="1138"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洗发露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（300ML）</w:t>
            </w:r>
          </w:p>
        </w:tc>
        <w:tc>
          <w:tcPr>
            <w:tcW w:w="226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白茶香氛、纯天然植物等提取物，300ml PET瓶体，黑色铝盖，不干胶标签(防水功能、耐擦拭，可反复利用</w:t>
            </w:r>
            <w:r>
              <w:rPr>
                <w:rFonts w:hint="eastAsia" w:ascii="宋体" w:hAnsi="宋体" w:cs="宋体"/>
                <w:i w:val="0"/>
                <w:iCs w:val="0"/>
                <w:color w:val="000000"/>
                <w:kern w:val="0"/>
                <w:sz w:val="24"/>
                <w:szCs w:val="24"/>
                <w:u w:val="none"/>
                <w:lang w:val="en-US" w:eastAsia="zh-CN" w:bidi="ar"/>
              </w:rPr>
              <w:t>，按压式出液</w:t>
            </w:r>
            <w:r>
              <w:rPr>
                <w:rFonts w:hint="eastAsia" w:ascii="宋体" w:hAnsi="宋体" w:eastAsia="宋体" w:cs="宋体"/>
                <w:i w:val="0"/>
                <w:iCs w:val="0"/>
                <w:color w:val="000000"/>
                <w:kern w:val="0"/>
                <w:sz w:val="24"/>
                <w:szCs w:val="24"/>
                <w:u w:val="none"/>
                <w:lang w:val="en-US" w:eastAsia="zh-CN" w:bidi="ar"/>
              </w:rPr>
              <w:t>）。</w:t>
            </w:r>
          </w:p>
        </w:tc>
        <w:tc>
          <w:tcPr>
            <w:tcW w:w="1540"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530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8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6</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沐浴露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（300ML）</w:t>
            </w:r>
          </w:p>
        </w:tc>
        <w:tc>
          <w:tcPr>
            <w:tcW w:w="226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白茶香氛、纯天然植物等提取物，300ml PET瓶体，黑色铝盖，不干胶标签(防水功能、耐擦拭，可反复利用</w:t>
            </w:r>
            <w:r>
              <w:rPr>
                <w:rFonts w:hint="eastAsia" w:ascii="宋体" w:hAnsi="宋体" w:cs="宋体"/>
                <w:i w:val="0"/>
                <w:iCs w:val="0"/>
                <w:color w:val="000000"/>
                <w:kern w:val="0"/>
                <w:sz w:val="24"/>
                <w:szCs w:val="24"/>
                <w:u w:val="none"/>
                <w:lang w:val="en-US" w:eastAsia="zh-CN" w:bidi="ar"/>
              </w:rPr>
              <w:t>，按压式出液</w:t>
            </w:r>
            <w:r>
              <w:rPr>
                <w:rFonts w:hint="eastAsia" w:ascii="宋体" w:hAnsi="宋体" w:eastAsia="宋体" w:cs="宋体"/>
                <w:i w:val="0"/>
                <w:iCs w:val="0"/>
                <w:color w:val="000000"/>
                <w:kern w:val="0"/>
                <w:sz w:val="24"/>
                <w:szCs w:val="24"/>
                <w:u w:val="none"/>
                <w:lang w:val="en-US" w:eastAsia="zh-CN" w:bidi="ar"/>
              </w:rPr>
              <w:t>）。</w:t>
            </w:r>
          </w:p>
        </w:tc>
        <w:tc>
          <w:tcPr>
            <w:tcW w:w="1540"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530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8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7</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润肤露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（300ML）</w:t>
            </w:r>
          </w:p>
        </w:tc>
        <w:tc>
          <w:tcPr>
            <w:tcW w:w="226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白茶香氛、纯天然植物等提取物，300ml PET瓶体，黑色铝盖，不干胶标签(防水功能、耐擦拭，可反复利用</w:t>
            </w:r>
            <w:r>
              <w:rPr>
                <w:rFonts w:hint="eastAsia" w:ascii="宋体" w:hAnsi="宋体" w:cs="宋体"/>
                <w:i w:val="0"/>
                <w:iCs w:val="0"/>
                <w:color w:val="000000"/>
                <w:kern w:val="0"/>
                <w:sz w:val="24"/>
                <w:szCs w:val="24"/>
                <w:u w:val="none"/>
                <w:lang w:val="en-US" w:eastAsia="zh-CN" w:bidi="ar"/>
              </w:rPr>
              <w:t>，按压式出液</w:t>
            </w:r>
            <w:r>
              <w:rPr>
                <w:rFonts w:hint="eastAsia" w:ascii="宋体" w:hAnsi="宋体" w:eastAsia="宋体" w:cs="宋体"/>
                <w:i w:val="0"/>
                <w:iCs w:val="0"/>
                <w:color w:val="000000"/>
                <w:kern w:val="0"/>
                <w:sz w:val="24"/>
                <w:szCs w:val="24"/>
                <w:u w:val="none"/>
                <w:lang w:val="en-US" w:eastAsia="zh-CN" w:bidi="ar"/>
              </w:rPr>
              <w:t>）。</w:t>
            </w:r>
          </w:p>
        </w:tc>
        <w:tc>
          <w:tcPr>
            <w:tcW w:w="1540"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530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8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8</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护发素</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（300M</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L）</w:t>
            </w:r>
          </w:p>
        </w:tc>
        <w:tc>
          <w:tcPr>
            <w:tcW w:w="226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白茶香氛、纯天然植物等提取物，300ml PET瓶体，黑色铝盖，不干胶标签(防水功能、耐擦拭，可反复利用</w:t>
            </w:r>
            <w:r>
              <w:rPr>
                <w:rFonts w:hint="eastAsia" w:ascii="宋体" w:hAnsi="宋体" w:cs="宋体"/>
                <w:i w:val="0"/>
                <w:iCs w:val="0"/>
                <w:color w:val="000000"/>
                <w:kern w:val="0"/>
                <w:sz w:val="24"/>
                <w:szCs w:val="24"/>
                <w:u w:val="none"/>
                <w:lang w:val="en-US" w:eastAsia="zh-CN" w:bidi="ar"/>
              </w:rPr>
              <w:t>，按压式出液</w:t>
            </w:r>
            <w:r>
              <w:rPr>
                <w:rFonts w:hint="eastAsia" w:ascii="宋体" w:hAnsi="宋体" w:eastAsia="宋体" w:cs="宋体"/>
                <w:i w:val="0"/>
                <w:iCs w:val="0"/>
                <w:color w:val="000000"/>
                <w:kern w:val="0"/>
                <w:sz w:val="24"/>
                <w:szCs w:val="24"/>
                <w:u w:val="none"/>
                <w:lang w:val="en-US" w:eastAsia="zh-CN" w:bidi="ar"/>
              </w:rPr>
              <w:t>）。</w:t>
            </w:r>
          </w:p>
        </w:tc>
        <w:tc>
          <w:tcPr>
            <w:tcW w:w="1540"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530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8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9</w:t>
            </w:r>
          </w:p>
        </w:tc>
        <w:tc>
          <w:tcPr>
            <w:tcW w:w="1138"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洗发露补充装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（5000ML）</w:t>
            </w:r>
          </w:p>
        </w:tc>
        <w:tc>
          <w:tcPr>
            <w:tcW w:w="226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白茶香氛、纯天然植物等提取物，5000ML，与正装同等品质。</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桶</w:t>
            </w:r>
          </w:p>
        </w:tc>
        <w:tc>
          <w:tcPr>
            <w:tcW w:w="8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10</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沐浴露补充装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（5000ML）</w:t>
            </w:r>
          </w:p>
        </w:tc>
        <w:tc>
          <w:tcPr>
            <w:tcW w:w="226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白茶香氛、纯天然植物等提取物，5000ML，与正装同等品质。</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桶</w:t>
            </w:r>
          </w:p>
        </w:tc>
        <w:tc>
          <w:tcPr>
            <w:tcW w:w="8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11</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润肤露补充装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（5000ML）</w:t>
            </w:r>
          </w:p>
        </w:tc>
        <w:tc>
          <w:tcPr>
            <w:tcW w:w="226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白茶香氛、纯天然植物等提取物，5000ML，与正装同等品质。</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桶</w:t>
            </w:r>
          </w:p>
        </w:tc>
        <w:tc>
          <w:tcPr>
            <w:tcW w:w="8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12</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护发素补充装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（5000ML）</w:t>
            </w:r>
          </w:p>
        </w:tc>
        <w:tc>
          <w:tcPr>
            <w:tcW w:w="226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白茶香氛、纯天然植物等提取物，5000ML，与正装同等品质。</w:t>
            </w:r>
          </w:p>
        </w:tc>
        <w:tc>
          <w:tcPr>
            <w:tcW w:w="154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桶</w:t>
            </w:r>
          </w:p>
        </w:tc>
        <w:tc>
          <w:tcPr>
            <w:tcW w:w="879"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0" w:hRule="atLeast"/>
        </w:trPr>
        <w:tc>
          <w:tcPr>
            <w:tcW w:w="5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13</w:t>
            </w:r>
          </w:p>
        </w:tc>
        <w:tc>
          <w:tcPr>
            <w:tcW w:w="11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香皂</w:t>
            </w:r>
          </w:p>
        </w:tc>
        <w:tc>
          <w:tcPr>
            <w:tcW w:w="2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橄榄系列等，30g圆香皂+珠光膜贴不干胶+白色卡盒印刷（按原图），卡盒纸克重：280克</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104775</wp:posOffset>
                  </wp:positionV>
                  <wp:extent cx="825500" cy="807085"/>
                  <wp:effectExtent l="0" t="0" r="12700" b="12065"/>
                  <wp:wrapNone/>
                  <wp:docPr id="2" name="图片_2"/>
                  <wp:cNvGraphicFramePr/>
                  <a:graphic xmlns:a="http://schemas.openxmlformats.org/drawingml/2006/main">
                    <a:graphicData uri="http://schemas.openxmlformats.org/drawingml/2006/picture">
                      <pic:pic xmlns:pic="http://schemas.openxmlformats.org/drawingml/2006/picture">
                        <pic:nvPicPr>
                          <pic:cNvPr id="2" name="图片_2"/>
                          <pic:cNvPicPr/>
                        </pic:nvPicPr>
                        <pic:blipFill>
                          <a:blip r:embed="rId7"/>
                          <a:stretch>
                            <a:fillRect/>
                          </a:stretch>
                        </pic:blipFill>
                        <pic:spPr>
                          <a:xfrm>
                            <a:off x="0" y="0"/>
                            <a:ext cx="825500" cy="80708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drawing>
                <wp:anchor distT="0" distB="0" distL="114300" distR="114300" simplePos="0" relativeHeight="251659264" behindDoc="0" locked="0" layoutInCell="1" allowOverlap="1">
                  <wp:simplePos x="0" y="0"/>
                  <wp:positionH relativeFrom="column">
                    <wp:posOffset>10795</wp:posOffset>
                  </wp:positionH>
                  <wp:positionV relativeFrom="paragraph">
                    <wp:posOffset>1341120</wp:posOffset>
                  </wp:positionV>
                  <wp:extent cx="854710" cy="1499870"/>
                  <wp:effectExtent l="0" t="0" r="2540" b="5080"/>
                  <wp:wrapNone/>
                  <wp:docPr id="13" name="图片_12"/>
                  <wp:cNvGraphicFramePr/>
                  <a:graphic xmlns:a="http://schemas.openxmlformats.org/drawingml/2006/main">
                    <a:graphicData uri="http://schemas.openxmlformats.org/drawingml/2006/picture">
                      <pic:pic xmlns:pic="http://schemas.openxmlformats.org/drawingml/2006/picture">
                        <pic:nvPicPr>
                          <pic:cNvPr id="13" name="图片_12"/>
                          <pic:cNvPicPr/>
                        </pic:nvPicPr>
                        <pic:blipFill>
                          <a:blip r:embed="rId8"/>
                          <a:stretch>
                            <a:fillRect/>
                          </a:stretch>
                        </pic:blipFill>
                        <pic:spPr>
                          <a:xfrm>
                            <a:off x="0" y="0"/>
                            <a:ext cx="854710" cy="1499870"/>
                          </a:xfrm>
                          <a:prstGeom prst="rect">
                            <a:avLst/>
                          </a:prstGeom>
                          <a:noFill/>
                          <a:ln>
                            <a:noFill/>
                          </a:ln>
                        </pic:spPr>
                      </pic:pic>
                    </a:graphicData>
                  </a:graphic>
                </wp:anchor>
              </w:drawing>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15000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块</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图片仅供参考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14</w:t>
            </w:r>
          </w:p>
        </w:tc>
        <w:tc>
          <w:tcPr>
            <w:tcW w:w="11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护理套</w:t>
            </w:r>
          </w:p>
        </w:tc>
        <w:tc>
          <w:tcPr>
            <w:tcW w:w="2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4木棉签2圆形化妆棉1指甲锉+白色卡盒印刷（按原图）卡盒纸克重：280克</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图片仅供参考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15</w:t>
            </w:r>
          </w:p>
        </w:tc>
        <w:tc>
          <w:tcPr>
            <w:tcW w:w="11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梳子</w:t>
            </w:r>
          </w:p>
        </w:tc>
        <w:tc>
          <w:tcPr>
            <w:tcW w:w="2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长柄大刀梳+白卡纸盒印刷（按原图） 卡盒纸克重：280克</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drawing>
                <wp:anchor distT="0" distB="0" distL="114300" distR="114300" simplePos="0" relativeHeight="251659264" behindDoc="0" locked="0" layoutInCell="1" allowOverlap="1">
                  <wp:simplePos x="0" y="0"/>
                  <wp:positionH relativeFrom="column">
                    <wp:posOffset>9525</wp:posOffset>
                  </wp:positionH>
                  <wp:positionV relativeFrom="paragraph">
                    <wp:posOffset>15875</wp:posOffset>
                  </wp:positionV>
                  <wp:extent cx="864870" cy="1558290"/>
                  <wp:effectExtent l="0" t="0" r="11430" b="3810"/>
                  <wp:wrapNone/>
                  <wp:docPr id="3" name="图片_20"/>
                  <wp:cNvGraphicFramePr/>
                  <a:graphic xmlns:a="http://schemas.openxmlformats.org/drawingml/2006/main">
                    <a:graphicData uri="http://schemas.openxmlformats.org/drawingml/2006/picture">
                      <pic:pic xmlns:pic="http://schemas.openxmlformats.org/drawingml/2006/picture">
                        <pic:nvPicPr>
                          <pic:cNvPr id="3" name="图片_20"/>
                          <pic:cNvPicPr/>
                        </pic:nvPicPr>
                        <pic:blipFill>
                          <a:blip r:embed="rId9"/>
                          <a:stretch>
                            <a:fillRect/>
                          </a:stretch>
                        </pic:blipFill>
                        <pic:spPr>
                          <a:xfrm>
                            <a:off x="0" y="0"/>
                            <a:ext cx="864870" cy="1558290"/>
                          </a:xfrm>
                          <a:prstGeom prst="rect">
                            <a:avLst/>
                          </a:prstGeom>
                          <a:noFill/>
                          <a:ln>
                            <a:noFill/>
                          </a:ln>
                        </pic:spPr>
                      </pic:pic>
                    </a:graphicData>
                  </a:graphic>
                </wp:anchor>
              </w:drawing>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30000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图片仅供参考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2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16</w:t>
            </w:r>
          </w:p>
        </w:tc>
        <w:tc>
          <w:tcPr>
            <w:tcW w:w="11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牙具</w:t>
            </w:r>
          </w:p>
        </w:tc>
        <w:tc>
          <w:tcPr>
            <w:tcW w:w="2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方头秸秆牙刷柄黑白两种颜色+竹炭毛+5g高露洁+白卡盒纸印刷（按原图）， 卡盒纸克重：280克</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drawing>
                <wp:anchor distT="0" distB="0" distL="114300" distR="114300" simplePos="0" relativeHeight="251659264" behindDoc="0" locked="0" layoutInCell="1" allowOverlap="1">
                  <wp:simplePos x="0" y="0"/>
                  <wp:positionH relativeFrom="column">
                    <wp:posOffset>11430</wp:posOffset>
                  </wp:positionH>
                  <wp:positionV relativeFrom="paragraph">
                    <wp:posOffset>20320</wp:posOffset>
                  </wp:positionV>
                  <wp:extent cx="845185" cy="1426210"/>
                  <wp:effectExtent l="0" t="0" r="12065" b="2540"/>
                  <wp:wrapNone/>
                  <wp:docPr id="4" name="图片_21"/>
                  <wp:cNvGraphicFramePr/>
                  <a:graphic xmlns:a="http://schemas.openxmlformats.org/drawingml/2006/main">
                    <a:graphicData uri="http://schemas.openxmlformats.org/drawingml/2006/picture">
                      <pic:pic xmlns:pic="http://schemas.openxmlformats.org/drawingml/2006/picture">
                        <pic:nvPicPr>
                          <pic:cNvPr id="4" name="图片_21"/>
                          <pic:cNvPicPr/>
                        </pic:nvPicPr>
                        <pic:blipFill>
                          <a:blip r:embed="rId10"/>
                          <a:stretch>
                            <a:fillRect/>
                          </a:stretch>
                        </pic:blipFill>
                        <pic:spPr>
                          <a:xfrm>
                            <a:off x="0" y="0"/>
                            <a:ext cx="845185" cy="1426210"/>
                          </a:xfrm>
                          <a:prstGeom prst="rect">
                            <a:avLst/>
                          </a:prstGeom>
                          <a:noFill/>
                          <a:ln>
                            <a:noFill/>
                          </a:ln>
                        </pic:spPr>
                      </pic:pic>
                    </a:graphicData>
                  </a:graphic>
                </wp:anchor>
              </w:drawing>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30000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图片仅供参考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2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17</w:t>
            </w:r>
          </w:p>
        </w:tc>
        <w:tc>
          <w:tcPr>
            <w:tcW w:w="11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拖鞋</w:t>
            </w:r>
          </w:p>
        </w:tc>
        <w:tc>
          <w:tcPr>
            <w:tcW w:w="2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29.5*11.5左右脚 3把上 3面珊瑚绒+0.2cm海绵+0.1cm平片+0.3cm后跟,8mm厚柳叶纹底，布包边，按图片样式定做，可水洗,</w:t>
            </w:r>
          </w:p>
        </w:tc>
        <w:tc>
          <w:tcPr>
            <w:tcW w:w="15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drawing>
                <wp:anchor distT="0" distB="0" distL="114300" distR="114300" simplePos="0" relativeHeight="251659264" behindDoc="0" locked="0" layoutInCell="1" allowOverlap="1">
                  <wp:simplePos x="0" y="0"/>
                  <wp:positionH relativeFrom="column">
                    <wp:posOffset>32385</wp:posOffset>
                  </wp:positionH>
                  <wp:positionV relativeFrom="paragraph">
                    <wp:posOffset>15240</wp:posOffset>
                  </wp:positionV>
                  <wp:extent cx="805815" cy="1279525"/>
                  <wp:effectExtent l="0" t="0" r="13335" b="15875"/>
                  <wp:wrapNone/>
                  <wp:docPr id="16" name="图片_22"/>
                  <wp:cNvGraphicFramePr/>
                  <a:graphic xmlns:a="http://schemas.openxmlformats.org/drawingml/2006/main">
                    <a:graphicData uri="http://schemas.openxmlformats.org/drawingml/2006/picture">
                      <pic:pic xmlns:pic="http://schemas.openxmlformats.org/drawingml/2006/picture">
                        <pic:nvPicPr>
                          <pic:cNvPr id="16" name="图片_22"/>
                          <pic:cNvPicPr/>
                        </pic:nvPicPr>
                        <pic:blipFill>
                          <a:blip r:embed="rId11"/>
                          <a:stretch>
                            <a:fillRect/>
                          </a:stretch>
                        </pic:blipFill>
                        <pic:spPr>
                          <a:xfrm>
                            <a:off x="0" y="0"/>
                            <a:ext cx="805815" cy="1279525"/>
                          </a:xfrm>
                          <a:prstGeom prst="rect">
                            <a:avLst/>
                          </a:prstGeom>
                          <a:noFill/>
                          <a:ln>
                            <a:noFill/>
                          </a:ln>
                        </pic:spPr>
                      </pic:pic>
                    </a:graphicData>
                  </a:graphic>
                </wp:anchor>
              </w:drawing>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30000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图片仅供参考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18</w:t>
            </w:r>
          </w:p>
        </w:tc>
        <w:tc>
          <w:tcPr>
            <w:tcW w:w="11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拖鞋</w:t>
            </w:r>
          </w:p>
        </w:tc>
        <w:tc>
          <w:tcPr>
            <w:tcW w:w="2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29.5*11.5左右脚 拉毛绒面料+0.2cm海绵+0.1cm平片+0.3cm后跟,8mm厚柳叶纹底，内衬拉毛绒，无纺布包边，按图片样式定做</w:t>
            </w:r>
          </w:p>
        </w:tc>
        <w:tc>
          <w:tcPr>
            <w:tcW w:w="15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图片仅供参考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8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19</w:t>
            </w:r>
          </w:p>
        </w:tc>
        <w:tc>
          <w:tcPr>
            <w:tcW w:w="11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须刨套装</w:t>
            </w:r>
          </w:p>
        </w:tc>
        <w:tc>
          <w:tcPr>
            <w:tcW w:w="2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不锈钢刀片+10g剃须膏+白卡纸盒印刷（按原图）卡盒纸克重：280克</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57150</wp:posOffset>
                  </wp:positionV>
                  <wp:extent cx="815975" cy="1149350"/>
                  <wp:effectExtent l="0" t="0" r="3175" b="12700"/>
                  <wp:wrapNone/>
                  <wp:docPr id="15" name="图片_23"/>
                  <wp:cNvGraphicFramePr/>
                  <a:graphic xmlns:a="http://schemas.openxmlformats.org/drawingml/2006/main">
                    <a:graphicData uri="http://schemas.openxmlformats.org/drawingml/2006/picture">
                      <pic:pic xmlns:pic="http://schemas.openxmlformats.org/drawingml/2006/picture">
                        <pic:nvPicPr>
                          <pic:cNvPr id="15" name="图片_23"/>
                          <pic:cNvPicPr/>
                        </pic:nvPicPr>
                        <pic:blipFill>
                          <a:blip r:embed="rId12"/>
                          <a:stretch>
                            <a:fillRect/>
                          </a:stretch>
                        </pic:blipFill>
                        <pic:spPr>
                          <a:xfrm>
                            <a:off x="0" y="0"/>
                            <a:ext cx="815975" cy="1149350"/>
                          </a:xfrm>
                          <a:prstGeom prst="rect">
                            <a:avLst/>
                          </a:prstGeom>
                          <a:noFill/>
                          <a:ln>
                            <a:noFill/>
                          </a:ln>
                        </pic:spPr>
                      </pic:pic>
                    </a:graphicData>
                  </a:graphic>
                </wp:anchor>
              </w:drawing>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15000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图片仅供参考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20</w:t>
            </w:r>
          </w:p>
        </w:tc>
        <w:tc>
          <w:tcPr>
            <w:tcW w:w="11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矿泉水</w:t>
            </w:r>
          </w:p>
        </w:tc>
        <w:tc>
          <w:tcPr>
            <w:tcW w:w="2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品质不低于（农夫山泉）规格24瓶/箱，500毫升</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8000</w:t>
            </w:r>
          </w:p>
        </w:tc>
        <w:tc>
          <w:tcPr>
            <w:tcW w:w="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箱</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图片仅供参考</w:t>
            </w:r>
          </w:p>
        </w:tc>
      </w:tr>
    </w:tbl>
    <w:p>
      <w:pPr>
        <w:pStyle w:val="2"/>
        <w:rPr>
          <w:rFonts w:hint="eastAsia"/>
          <w:lang w:val="en-US" w:eastAsia="zh-CN"/>
        </w:rPr>
      </w:pPr>
    </w:p>
    <w:p>
      <w:pPr>
        <w:spacing w:line="360" w:lineRule="auto"/>
        <w:ind w:firstLine="561" w:firstLineChars="200"/>
        <w:jc w:val="left"/>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备注：以上物品需提供样品。</w:t>
      </w:r>
    </w:p>
    <w:p>
      <w:pPr>
        <w:numPr>
          <w:ilvl w:val="0"/>
          <w:numId w:val="0"/>
        </w:numPr>
        <w:spacing w:line="360" w:lineRule="auto"/>
        <w:ind w:firstLine="561" w:firstLineChars="200"/>
        <w:jc w:val="left"/>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2.其他耗材类</w:t>
      </w:r>
    </w:p>
    <w:tbl>
      <w:tblPr>
        <w:tblStyle w:val="14"/>
        <w:tblpPr w:leftFromText="180" w:rightFromText="180" w:vertAnchor="text" w:horzAnchor="page" w:tblpXSpec="center" w:tblpY="606"/>
        <w:tblOverlap w:val="never"/>
        <w:tblW w:w="1044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9"/>
        <w:gridCol w:w="906"/>
        <w:gridCol w:w="2103"/>
        <w:gridCol w:w="962"/>
        <w:gridCol w:w="681"/>
        <w:gridCol w:w="1043"/>
        <w:gridCol w:w="790"/>
        <w:gridCol w:w="1582"/>
        <w:gridCol w:w="17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品名</w:t>
            </w: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4"/>
                <w:szCs w:val="24"/>
                <w:u w:val="none"/>
                <w:lang w:val="en-US" w:eastAsia="zh-CN" w:bidi="ar"/>
              </w:rPr>
              <w:t>参考规格</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单价</w:t>
            </w:r>
          </w:p>
          <w:p>
            <w:pPr>
              <w:pStyle w:val="2"/>
              <w:ind w:left="0" w:leftChars="0" w:firstLine="0" w:firstLineChars="0"/>
              <w:jc w:val="center"/>
              <w:rPr>
                <w:rFonts w:hint="eastAsia" w:eastAsia="宋体"/>
                <w:lang w:val="en-US" w:eastAsia="zh-CN"/>
              </w:rPr>
            </w:pPr>
            <w:r>
              <w:rPr>
                <w:rFonts w:hint="eastAsia"/>
                <w:lang w:val="en-US" w:eastAsia="zh-CN"/>
              </w:rPr>
              <w:t>（含税）</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税率</w:t>
            </w:r>
          </w:p>
        </w:tc>
        <w:tc>
          <w:tcPr>
            <w:tcW w:w="15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总价</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w:t>
            </w: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参考</w:t>
            </w:r>
            <w:r>
              <w:rPr>
                <w:rFonts w:hint="eastAsia" w:ascii="宋体" w:hAnsi="宋体" w:eastAsia="宋体" w:cs="宋体"/>
                <w:i w:val="0"/>
                <w:iCs w:val="0"/>
                <w:color w:val="000000"/>
                <w:kern w:val="0"/>
                <w:sz w:val="22"/>
                <w:szCs w:val="22"/>
                <w:u w:val="none"/>
                <w:lang w:val="en-US" w:eastAsia="zh-CN" w:bidi="ar"/>
              </w:rPr>
              <w:t>图片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长抽纸</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130抽，无香味，3层精美压花，一提6包，一箱12提，132mm*190mm,质量不低于心心相印</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57785</wp:posOffset>
                  </wp:positionH>
                  <wp:positionV relativeFrom="paragraph">
                    <wp:posOffset>212725</wp:posOffset>
                  </wp:positionV>
                  <wp:extent cx="920115" cy="795020"/>
                  <wp:effectExtent l="0" t="0" r="13335" b="5080"/>
                  <wp:wrapNone/>
                  <wp:docPr id="30" name="图片_2"/>
                  <wp:cNvGraphicFramePr/>
                  <a:graphic xmlns:a="http://schemas.openxmlformats.org/drawingml/2006/main">
                    <a:graphicData uri="http://schemas.openxmlformats.org/drawingml/2006/picture">
                      <pic:pic xmlns:pic="http://schemas.openxmlformats.org/drawingml/2006/picture">
                        <pic:nvPicPr>
                          <pic:cNvPr id="30" name="图片_2"/>
                          <pic:cNvPicPr/>
                        </pic:nvPicPr>
                        <pic:blipFill>
                          <a:blip r:embed="rId13"/>
                          <a:stretch>
                            <a:fillRect/>
                          </a:stretch>
                        </pic:blipFill>
                        <pic:spPr>
                          <a:xfrm>
                            <a:off x="0" y="0"/>
                            <a:ext cx="920115" cy="79502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擦手纸</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225mm*215mm，200张/包，一箱20包，100%原生纸浆，质量不低于心心相印</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70485</wp:posOffset>
                  </wp:positionH>
                  <wp:positionV relativeFrom="paragraph">
                    <wp:posOffset>345440</wp:posOffset>
                  </wp:positionV>
                  <wp:extent cx="902335" cy="577215"/>
                  <wp:effectExtent l="0" t="0" r="12065" b="13335"/>
                  <wp:wrapNone/>
                  <wp:docPr id="31" name="图片_3"/>
                  <wp:cNvGraphicFramePr/>
                  <a:graphic xmlns:a="http://schemas.openxmlformats.org/drawingml/2006/main">
                    <a:graphicData uri="http://schemas.openxmlformats.org/drawingml/2006/picture">
                      <pic:pic xmlns:pic="http://schemas.openxmlformats.org/drawingml/2006/picture">
                        <pic:nvPicPr>
                          <pic:cNvPr id="31" name="图片_3"/>
                          <pic:cNvPicPr/>
                        </pic:nvPicPr>
                        <pic:blipFill>
                          <a:blip r:embed="rId14"/>
                          <a:stretch>
                            <a:fillRect/>
                          </a:stretch>
                        </pic:blipFill>
                        <pic:spPr>
                          <a:xfrm>
                            <a:off x="0" y="0"/>
                            <a:ext cx="902335" cy="57721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卷纸</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100mm*115mm/节，三层 净含量：90g，质量不低于心心相印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一件6提，一提10卷。</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件</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51435</wp:posOffset>
                  </wp:positionH>
                  <wp:positionV relativeFrom="paragraph">
                    <wp:posOffset>177165</wp:posOffset>
                  </wp:positionV>
                  <wp:extent cx="872490" cy="955675"/>
                  <wp:effectExtent l="0" t="0" r="3810" b="15875"/>
                  <wp:wrapNone/>
                  <wp:docPr id="32" name="图片_4"/>
                  <wp:cNvGraphicFramePr/>
                  <a:graphic xmlns:a="http://schemas.openxmlformats.org/drawingml/2006/main">
                    <a:graphicData uri="http://schemas.openxmlformats.org/drawingml/2006/picture">
                      <pic:pic xmlns:pic="http://schemas.openxmlformats.org/drawingml/2006/picture">
                        <pic:nvPicPr>
                          <pic:cNvPr id="32" name="图片_4"/>
                          <pic:cNvPicPr/>
                        </pic:nvPicPr>
                        <pic:blipFill>
                          <a:blip r:embed="rId15"/>
                          <a:srcRect l="1965" t="14184" r="-1965" b="3710"/>
                          <a:stretch>
                            <a:fillRect/>
                          </a:stretch>
                        </pic:blipFill>
                        <pic:spPr>
                          <a:xfrm>
                            <a:off x="0" y="0"/>
                            <a:ext cx="872490" cy="95567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小垃圾袋</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50mm*60mm，一件100卷，每卷100个，一件10000个，白色加厚。</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件</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136525</wp:posOffset>
                  </wp:positionH>
                  <wp:positionV relativeFrom="paragraph">
                    <wp:posOffset>377825</wp:posOffset>
                  </wp:positionV>
                  <wp:extent cx="843915" cy="617220"/>
                  <wp:effectExtent l="0" t="0" r="13335" b="11430"/>
                  <wp:wrapNone/>
                  <wp:docPr id="28" name="图片_5"/>
                  <wp:cNvGraphicFramePr/>
                  <a:graphic xmlns:a="http://schemas.openxmlformats.org/drawingml/2006/main">
                    <a:graphicData uri="http://schemas.openxmlformats.org/drawingml/2006/picture">
                      <pic:pic xmlns:pic="http://schemas.openxmlformats.org/drawingml/2006/picture">
                        <pic:nvPicPr>
                          <pic:cNvPr id="28" name="图片_5"/>
                          <pic:cNvPicPr/>
                        </pic:nvPicPr>
                        <pic:blipFill>
                          <a:blip r:embed="rId16"/>
                          <a:stretch>
                            <a:fillRect/>
                          </a:stretch>
                        </pic:blipFill>
                        <pic:spPr>
                          <a:xfrm>
                            <a:off x="0" y="0"/>
                            <a:ext cx="843915" cy="61722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大垃圾袋</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900mm*110mm，一件20卷，每卷50个。黑色加厚。</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件</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drawing>
                <wp:inline distT="0" distB="0" distL="114300" distR="114300">
                  <wp:extent cx="895985" cy="541655"/>
                  <wp:effectExtent l="0" t="0" r="18415" b="10795"/>
                  <wp:docPr id="20" name="图片 19"/>
                  <wp:cNvGraphicFramePr/>
                  <a:graphic xmlns:a="http://schemas.openxmlformats.org/drawingml/2006/main">
                    <a:graphicData uri="http://schemas.openxmlformats.org/drawingml/2006/picture">
                      <pic:pic xmlns:pic="http://schemas.openxmlformats.org/drawingml/2006/picture">
                        <pic:nvPicPr>
                          <pic:cNvPr id="20" name="图片 19"/>
                          <pic:cNvPicPr/>
                        </pic:nvPicPr>
                        <pic:blipFill>
                          <a:blip r:embed="rId17"/>
                          <a:stretch>
                            <a:fillRect/>
                          </a:stretch>
                        </pic:blipFill>
                        <pic:spPr>
                          <a:xfrm>
                            <a:off x="0" y="0"/>
                            <a:ext cx="895985" cy="54165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洁厕剂</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红色透明液体，花木香，pH值：酸性，净含量：3.78L*4</w:t>
            </w:r>
            <w:r>
              <w:rPr>
                <w:rFonts w:hint="eastAsia" w:ascii="宋体" w:hAnsi="宋体" w:cs="宋体"/>
                <w:i w:val="0"/>
                <w:iCs w:val="0"/>
                <w:color w:val="000000"/>
                <w:kern w:val="0"/>
                <w:sz w:val="24"/>
                <w:szCs w:val="24"/>
                <w:u w:val="none"/>
                <w:lang w:val="en-US" w:eastAsia="zh-CN" w:bidi="ar"/>
              </w:rPr>
              <w:t>（图片仅供参考）</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268605</wp:posOffset>
                  </wp:positionH>
                  <wp:positionV relativeFrom="paragraph">
                    <wp:posOffset>184150</wp:posOffset>
                  </wp:positionV>
                  <wp:extent cx="590550" cy="818515"/>
                  <wp:effectExtent l="0" t="0" r="0" b="635"/>
                  <wp:wrapNone/>
                  <wp:docPr id="33" name="图片_8"/>
                  <wp:cNvGraphicFramePr/>
                  <a:graphic xmlns:a="http://schemas.openxmlformats.org/drawingml/2006/main">
                    <a:graphicData uri="http://schemas.openxmlformats.org/drawingml/2006/picture">
                      <pic:pic xmlns:pic="http://schemas.openxmlformats.org/drawingml/2006/picture">
                        <pic:nvPicPr>
                          <pic:cNvPr id="33" name="图片_8"/>
                          <pic:cNvPicPr/>
                        </pic:nvPicPr>
                        <pic:blipFill>
                          <a:blip r:embed="rId18"/>
                          <a:stretch>
                            <a:fillRect/>
                          </a:stretch>
                        </pic:blipFill>
                        <pic:spPr>
                          <a:xfrm>
                            <a:off x="0" y="0"/>
                            <a:ext cx="590550" cy="81851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木地板清洁剂</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PH值：8-10；净含量：3.78L*4；用于木质地板打理、清洁、保养</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（图片仅供参考）</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179070</wp:posOffset>
                  </wp:positionH>
                  <wp:positionV relativeFrom="paragraph">
                    <wp:posOffset>234950</wp:posOffset>
                  </wp:positionV>
                  <wp:extent cx="676275" cy="853440"/>
                  <wp:effectExtent l="0" t="0" r="9525" b="3810"/>
                  <wp:wrapNone/>
                  <wp:docPr id="34" name="图片_13"/>
                  <wp:cNvGraphicFramePr/>
                  <a:graphic xmlns:a="http://schemas.openxmlformats.org/drawingml/2006/main">
                    <a:graphicData uri="http://schemas.openxmlformats.org/drawingml/2006/picture">
                      <pic:pic xmlns:pic="http://schemas.openxmlformats.org/drawingml/2006/picture">
                        <pic:nvPicPr>
                          <pic:cNvPr id="34" name="图片_13"/>
                          <pic:cNvPicPr/>
                        </pic:nvPicPr>
                        <pic:blipFill>
                          <a:blip r:embed="rId19"/>
                          <a:stretch>
                            <a:fillRect/>
                          </a:stretch>
                        </pic:blipFill>
                        <pic:spPr>
                          <a:xfrm>
                            <a:off x="0" y="0"/>
                            <a:ext cx="676275" cy="85344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8</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雀巢咖啡</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净含量：1.8g   黑咖啡  速溶醇品 无蔗糖</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drawing>
                <wp:inline distT="0" distB="0" distL="114300" distR="114300">
                  <wp:extent cx="839470" cy="1257935"/>
                  <wp:effectExtent l="0" t="0" r="17780" b="18415"/>
                  <wp:docPr id="45" name="图片 21"/>
                  <wp:cNvGraphicFramePr/>
                  <a:graphic xmlns:a="http://schemas.openxmlformats.org/drawingml/2006/main">
                    <a:graphicData uri="http://schemas.openxmlformats.org/drawingml/2006/picture">
                      <pic:pic xmlns:pic="http://schemas.openxmlformats.org/drawingml/2006/picture">
                        <pic:nvPicPr>
                          <pic:cNvPr id="45" name="图片 21"/>
                          <pic:cNvPicPr/>
                        </pic:nvPicPr>
                        <pic:blipFill>
                          <a:blip r:embed="rId20"/>
                          <a:stretch>
                            <a:fillRect/>
                          </a:stretch>
                        </pic:blipFill>
                        <pic:spPr>
                          <a:xfrm>
                            <a:off x="0" y="0"/>
                            <a:ext cx="839470" cy="125793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雀巢咖啡伴侣</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净含量：3g/包，无反式脂肪 原味</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drawing>
                <wp:inline distT="0" distB="0" distL="114300" distR="114300">
                  <wp:extent cx="799465" cy="1135380"/>
                  <wp:effectExtent l="0" t="0" r="635" b="7620"/>
                  <wp:docPr id="46" name="图片 22"/>
                  <wp:cNvGraphicFramePr/>
                  <a:graphic xmlns:a="http://schemas.openxmlformats.org/drawingml/2006/main">
                    <a:graphicData uri="http://schemas.openxmlformats.org/drawingml/2006/picture">
                      <pic:pic xmlns:pic="http://schemas.openxmlformats.org/drawingml/2006/picture">
                        <pic:nvPicPr>
                          <pic:cNvPr id="46" name="图片 22"/>
                          <pic:cNvPicPr/>
                        </pic:nvPicPr>
                        <pic:blipFill>
                          <a:blip r:embed="rId21"/>
                          <a:stretch>
                            <a:fillRect/>
                          </a:stretch>
                        </pic:blipFill>
                        <pic:spPr>
                          <a:xfrm>
                            <a:off x="0" y="0"/>
                            <a:ext cx="799465" cy="113538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太古Taikoo金黄咖啡调糖糖包</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净含量：5g/包</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drawing>
                <wp:inline distT="0" distB="0" distL="114300" distR="114300">
                  <wp:extent cx="861695" cy="1256030"/>
                  <wp:effectExtent l="0" t="0" r="14605" b="1270"/>
                  <wp:docPr id="47" name="图片 23"/>
                  <wp:cNvGraphicFramePr/>
                  <a:graphic xmlns:a="http://schemas.openxmlformats.org/drawingml/2006/main">
                    <a:graphicData uri="http://schemas.openxmlformats.org/drawingml/2006/picture">
                      <pic:pic xmlns:pic="http://schemas.openxmlformats.org/drawingml/2006/picture">
                        <pic:nvPicPr>
                          <pic:cNvPr id="47" name="图片 23"/>
                          <pic:cNvPicPr/>
                        </pic:nvPicPr>
                        <pic:blipFill>
                          <a:blip r:embed="rId22"/>
                          <a:stretch>
                            <a:fillRect/>
                          </a:stretch>
                        </pic:blipFill>
                        <pic:spPr>
                          <a:xfrm>
                            <a:off x="0" y="0"/>
                            <a:ext cx="861695" cy="125603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1</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茉莉花茶包</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净含量：2g/包，品牌不低于川宁</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drawing>
                <wp:inline distT="0" distB="0" distL="114300" distR="114300">
                  <wp:extent cx="916940" cy="1109345"/>
                  <wp:effectExtent l="0" t="0" r="16510" b="14605"/>
                  <wp:docPr id="48" name="图片 24"/>
                  <wp:cNvGraphicFramePr/>
                  <a:graphic xmlns:a="http://schemas.openxmlformats.org/drawingml/2006/main">
                    <a:graphicData uri="http://schemas.openxmlformats.org/drawingml/2006/picture">
                      <pic:pic xmlns:pic="http://schemas.openxmlformats.org/drawingml/2006/picture">
                        <pic:nvPicPr>
                          <pic:cNvPr id="48" name="图片 24"/>
                          <pic:cNvPicPr/>
                        </pic:nvPicPr>
                        <pic:blipFill>
                          <a:blip r:embed="rId23"/>
                          <a:stretch>
                            <a:fillRect/>
                          </a:stretch>
                        </pic:blipFill>
                        <pic:spPr>
                          <a:xfrm>
                            <a:off x="0" y="0"/>
                            <a:ext cx="916940" cy="110934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2</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英式早餐红茶</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净含量：2g/包，品牌不低于川宁</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drawing>
                <wp:inline distT="0" distB="0" distL="114300" distR="114300">
                  <wp:extent cx="1001395" cy="1440815"/>
                  <wp:effectExtent l="0" t="0" r="8255" b="6985"/>
                  <wp:docPr id="49" name="图片 25"/>
                  <wp:cNvGraphicFramePr/>
                  <a:graphic xmlns:a="http://schemas.openxmlformats.org/drawingml/2006/main">
                    <a:graphicData uri="http://schemas.openxmlformats.org/drawingml/2006/picture">
                      <pic:pic xmlns:pic="http://schemas.openxmlformats.org/drawingml/2006/picture">
                        <pic:nvPicPr>
                          <pic:cNvPr id="49" name="图片 25"/>
                          <pic:cNvPicPr/>
                        </pic:nvPicPr>
                        <pic:blipFill>
                          <a:blip r:embed="rId24"/>
                          <a:stretch>
                            <a:fillRect/>
                          </a:stretch>
                        </pic:blipFill>
                        <pic:spPr>
                          <a:xfrm>
                            <a:off x="0" y="0"/>
                            <a:ext cx="1001395" cy="144081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6"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3</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洗衣液</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旅行装，手洗专用，椰油皂基20g/每袋 质量不低于超能</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drawing>
                <wp:inline distT="0" distB="0" distL="114300" distR="114300">
                  <wp:extent cx="973455" cy="897255"/>
                  <wp:effectExtent l="0" t="0" r="17145" b="17145"/>
                  <wp:docPr id="50" name="图片 26"/>
                  <wp:cNvGraphicFramePr/>
                  <a:graphic xmlns:a="http://schemas.openxmlformats.org/drawingml/2006/main">
                    <a:graphicData uri="http://schemas.openxmlformats.org/drawingml/2006/picture">
                      <pic:pic xmlns:pic="http://schemas.openxmlformats.org/drawingml/2006/picture">
                        <pic:nvPicPr>
                          <pic:cNvPr id="50" name="图片 26"/>
                          <pic:cNvPicPr/>
                        </pic:nvPicPr>
                        <pic:blipFill>
                          <a:blip r:embed="rId25"/>
                          <a:stretch>
                            <a:fillRect/>
                          </a:stretch>
                        </pic:blipFill>
                        <pic:spPr>
                          <a:xfrm>
                            <a:off x="0" y="0"/>
                            <a:ext cx="973455" cy="89725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4</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洗衣液</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实惠装，手洗专用， 无刺激，2千克/袋。质量不低于超能</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drawing>
                <wp:inline distT="0" distB="0" distL="114300" distR="114300">
                  <wp:extent cx="793750" cy="938530"/>
                  <wp:effectExtent l="0" t="0" r="6350" b="13970"/>
                  <wp:docPr id="5" name="图片 4"/>
                  <wp:cNvGraphicFramePr/>
                  <a:graphic xmlns:a="http://schemas.openxmlformats.org/drawingml/2006/main">
                    <a:graphicData uri="http://schemas.openxmlformats.org/drawingml/2006/picture">
                      <pic:pic xmlns:pic="http://schemas.openxmlformats.org/drawingml/2006/picture">
                        <pic:nvPicPr>
                          <pic:cNvPr id="5" name="图片 4"/>
                          <pic:cNvPicPr/>
                        </pic:nvPicPr>
                        <pic:blipFill>
                          <a:blip r:embed="rId26"/>
                          <a:stretch>
                            <a:fillRect/>
                          </a:stretch>
                        </pic:blipFill>
                        <pic:spPr>
                          <a:xfrm>
                            <a:off x="0" y="0"/>
                            <a:ext cx="793750" cy="93853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2"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15</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洗手液</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润肤洗手液，一箱4桶，一桶净含量3.785升，品牌不低于蓝淼。</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r>
              <w:drawing>
                <wp:inline distT="0" distB="0" distL="114300" distR="114300">
                  <wp:extent cx="775335" cy="900430"/>
                  <wp:effectExtent l="0" t="0" r="5715" b="13970"/>
                  <wp:docPr id="6" name="图片 5"/>
                  <wp:cNvGraphicFramePr/>
                  <a:graphic xmlns:a="http://schemas.openxmlformats.org/drawingml/2006/main">
                    <a:graphicData uri="http://schemas.openxmlformats.org/drawingml/2006/picture">
                      <pic:pic xmlns:pic="http://schemas.openxmlformats.org/drawingml/2006/picture">
                        <pic:nvPicPr>
                          <pic:cNvPr id="6" name="图片 5"/>
                          <pic:cNvPicPr/>
                        </pic:nvPicPr>
                        <pic:blipFill>
                          <a:blip r:embed="rId27"/>
                          <a:stretch>
                            <a:fillRect/>
                          </a:stretch>
                        </pic:blipFill>
                        <pic:spPr>
                          <a:xfrm>
                            <a:off x="0" y="0"/>
                            <a:ext cx="775335" cy="90043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16</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洗洁精</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500g/瓶  质量不低于立白</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r>
              <w:drawing>
                <wp:inline distT="0" distB="0" distL="114300" distR="114300">
                  <wp:extent cx="695960" cy="918210"/>
                  <wp:effectExtent l="0" t="0" r="8890" b="15240"/>
                  <wp:docPr id="7" name="图片 6"/>
                  <wp:cNvGraphicFramePr/>
                  <a:graphic xmlns:a="http://schemas.openxmlformats.org/drawingml/2006/main">
                    <a:graphicData uri="http://schemas.openxmlformats.org/drawingml/2006/picture">
                      <pic:pic xmlns:pic="http://schemas.openxmlformats.org/drawingml/2006/picture">
                        <pic:nvPicPr>
                          <pic:cNvPr id="7" name="图片 6"/>
                          <pic:cNvPicPr/>
                        </pic:nvPicPr>
                        <pic:blipFill>
                          <a:blip r:embed="rId28"/>
                          <a:stretch>
                            <a:fillRect/>
                          </a:stretch>
                        </pic:blipFill>
                        <pic:spPr>
                          <a:xfrm>
                            <a:off x="0" y="0"/>
                            <a:ext cx="695960" cy="91821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17</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浴室清洁剂</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500g/瓶</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r>
              <w:drawing>
                <wp:inline distT="0" distB="0" distL="114300" distR="114300">
                  <wp:extent cx="862330" cy="1134110"/>
                  <wp:effectExtent l="0" t="0" r="13970" b="8890"/>
                  <wp:docPr id="8" name="图片 7"/>
                  <wp:cNvGraphicFramePr/>
                  <a:graphic xmlns:a="http://schemas.openxmlformats.org/drawingml/2006/main">
                    <a:graphicData uri="http://schemas.openxmlformats.org/drawingml/2006/picture">
                      <pic:pic xmlns:pic="http://schemas.openxmlformats.org/drawingml/2006/picture">
                        <pic:nvPicPr>
                          <pic:cNvPr id="8" name="图片 7"/>
                          <pic:cNvPicPr/>
                        </pic:nvPicPr>
                        <pic:blipFill>
                          <a:blip r:embed="rId29"/>
                          <a:stretch>
                            <a:fillRect/>
                          </a:stretch>
                        </pic:blipFill>
                        <pic:spPr>
                          <a:xfrm>
                            <a:off x="0" y="0"/>
                            <a:ext cx="862330" cy="113411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18</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柠檬酸水壶除垢剂</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10g/袋</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16000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袋</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r>
              <w:drawing>
                <wp:inline distT="0" distB="0" distL="114300" distR="114300">
                  <wp:extent cx="850900" cy="1085215"/>
                  <wp:effectExtent l="0" t="0" r="6350" b="635"/>
                  <wp:docPr id="9" name="图片 8"/>
                  <wp:cNvGraphicFramePr/>
                  <a:graphic xmlns:a="http://schemas.openxmlformats.org/drawingml/2006/main">
                    <a:graphicData uri="http://schemas.openxmlformats.org/drawingml/2006/picture">
                      <pic:pic xmlns:pic="http://schemas.openxmlformats.org/drawingml/2006/picture">
                        <pic:nvPicPr>
                          <pic:cNvPr id="9" name="图片 8"/>
                          <pic:cNvPicPr/>
                        </pic:nvPicPr>
                        <pic:blipFill>
                          <a:blip r:embed="rId30"/>
                          <a:stretch>
                            <a:fillRect/>
                          </a:stretch>
                        </pic:blipFill>
                        <pic:spPr>
                          <a:xfrm>
                            <a:off x="0" y="0"/>
                            <a:ext cx="850900" cy="108521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19</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请即打扫</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皮质， 内衬环保木板，双面印字</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r>
              <w:drawing>
                <wp:inline distT="0" distB="0" distL="114300" distR="114300">
                  <wp:extent cx="857250" cy="916940"/>
                  <wp:effectExtent l="0" t="0" r="0" b="16510"/>
                  <wp:docPr id="51" name="图片 9"/>
                  <wp:cNvGraphicFramePr/>
                  <a:graphic xmlns:a="http://schemas.openxmlformats.org/drawingml/2006/main">
                    <a:graphicData uri="http://schemas.openxmlformats.org/drawingml/2006/picture">
                      <pic:pic xmlns:pic="http://schemas.openxmlformats.org/drawingml/2006/picture">
                        <pic:nvPicPr>
                          <pic:cNvPr id="51" name="图片 9"/>
                          <pic:cNvPicPr/>
                        </pic:nvPicPr>
                        <pic:blipFill>
                          <a:blip r:embed="rId31"/>
                          <a:stretch>
                            <a:fillRect/>
                          </a:stretch>
                        </pic:blipFill>
                        <pic:spPr>
                          <a:xfrm>
                            <a:off x="0" y="0"/>
                            <a:ext cx="857250" cy="91694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衣架</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材质不限 结实耐用 需提供样品</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8"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小垃圾桶</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皮革面包裹；双层，阻燃，黑色；225*270</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30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个</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防毒面具</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3C，酒店专用含过滤式消防呼吸器，符合国家相关消防标准，一次性；防毒气，耐高温，防烟阻燃盒装；滤烟性能&gt;95%;吸气阻力&lt;800pa;呼气阻力&lt;300pa。</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22</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个</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3"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23</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橡胶浴垫</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480MM*740MM；防滑；带吸盘</w:t>
            </w:r>
            <w:r>
              <w:rPr>
                <w:rFonts w:ascii="宋体" w:hAnsi="宋体" w:eastAsia="宋体" w:cs="宋体"/>
                <w:i w:val="0"/>
                <w:iCs w:val="0"/>
                <w:color w:val="000000"/>
                <w:kern w:val="0"/>
                <w:sz w:val="24"/>
                <w:szCs w:val="24"/>
                <w:u w:val="none"/>
                <w:lang w:val="en-US" w:eastAsia="zh-CN" w:bidi="ar"/>
              </w:rPr>
              <w:br w:type="textWrapping"/>
            </w:r>
            <w:r>
              <w:rPr>
                <w:rFonts w:ascii="宋体" w:hAnsi="宋体" w:eastAsia="宋体" w:cs="宋体"/>
                <w:i w:val="0"/>
                <w:iCs w:val="0"/>
                <w:color w:val="000000"/>
                <w:kern w:val="0"/>
                <w:sz w:val="24"/>
                <w:szCs w:val="24"/>
                <w:u w:val="none"/>
                <w:lang w:val="en-US" w:eastAsia="zh-CN" w:bidi="ar"/>
              </w:rPr>
              <w:t>天乳胶，风格: 简约现代</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50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个</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24</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客房服务车</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铁烤漆；沙钢咖啡色6寸PP轮；1450*500*1246，质量等同南方</w:t>
            </w:r>
            <w:r>
              <w:rPr>
                <w:rFonts w:ascii="宋体" w:hAnsi="宋体" w:eastAsia="宋体" w:cs="宋体"/>
                <w:i w:val="0"/>
                <w:iCs w:val="0"/>
                <w:color w:val="000000"/>
                <w:kern w:val="0"/>
                <w:sz w:val="24"/>
                <w:szCs w:val="24"/>
                <w:u w:val="none"/>
                <w:lang w:val="en-US" w:eastAsia="zh-CN" w:bidi="ar"/>
              </w:rPr>
              <w:br w:type="textWrapping"/>
            </w:r>
            <w:r>
              <w:rPr>
                <w:rFonts w:ascii="宋体" w:hAnsi="宋体" w:eastAsia="宋体" w:cs="宋体"/>
                <w:i w:val="0"/>
                <w:iCs w:val="0"/>
                <w:color w:val="000000"/>
                <w:kern w:val="0"/>
                <w:sz w:val="24"/>
                <w:szCs w:val="24"/>
                <w:u w:val="none"/>
                <w:lang w:val="en-US" w:eastAsia="zh-CN" w:bidi="ar"/>
              </w:rPr>
              <w:t>家具结构: 支架结构</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2</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个</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25</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布草车</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锥形蓝色车；铁框架；带布兜；底部带有轮子质量等同南方</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2</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个</w:t>
            </w:r>
          </w:p>
        </w:tc>
        <w:tc>
          <w:tcPr>
            <w:tcW w:w="10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pPr>
          </w:p>
        </w:tc>
      </w:tr>
    </w:tbl>
    <w:p>
      <w:pPr>
        <w:spacing w:line="360" w:lineRule="auto"/>
        <w:ind w:firstLine="561" w:firstLineChars="200"/>
        <w:jc w:val="left"/>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备注：以上需要提供样品。</w:t>
      </w:r>
    </w:p>
    <w:p>
      <w:pPr>
        <w:spacing w:line="360" w:lineRule="auto"/>
        <w:ind w:firstLine="561" w:firstLineChars="200"/>
        <w:jc w:val="left"/>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3.部分电器</w:t>
      </w:r>
    </w:p>
    <w:tbl>
      <w:tblPr>
        <w:tblStyle w:val="14"/>
        <w:tblW w:w="10417" w:type="dxa"/>
        <w:tblInd w:w="-2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9"/>
        <w:gridCol w:w="986"/>
        <w:gridCol w:w="2414"/>
        <w:gridCol w:w="700"/>
        <w:gridCol w:w="715"/>
        <w:gridCol w:w="814"/>
        <w:gridCol w:w="843"/>
        <w:gridCol w:w="1127"/>
        <w:gridCol w:w="19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4"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序号</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品名</w:t>
            </w:r>
          </w:p>
        </w:tc>
        <w:tc>
          <w:tcPr>
            <w:tcW w:w="24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kern w:val="0"/>
                <w:sz w:val="24"/>
                <w:szCs w:val="24"/>
                <w:u w:val="none"/>
                <w:lang w:val="en-US" w:eastAsia="zh-CN" w:bidi="ar"/>
              </w:rPr>
              <w:t>参考规格</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数量</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单位</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税率</w:t>
            </w:r>
          </w:p>
        </w:tc>
        <w:tc>
          <w:tcPr>
            <w:tcW w:w="1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总价</w:t>
            </w:r>
          </w:p>
          <w:p>
            <w:pPr>
              <w:pStyle w:val="2"/>
              <w:ind w:left="0" w:leftChars="0" w:firstLine="0" w:firstLineChars="0"/>
              <w:jc w:val="center"/>
              <w:rPr>
                <w:rFonts w:hint="eastAsia"/>
              </w:rPr>
            </w:pPr>
            <w:r>
              <w:rPr>
                <w:rFonts w:hint="eastAsia" w:ascii="宋体" w:hAnsi="宋体" w:cs="宋体"/>
                <w:i w:val="0"/>
                <w:iCs w:val="0"/>
                <w:color w:val="000000"/>
                <w:kern w:val="0"/>
                <w:sz w:val="24"/>
                <w:szCs w:val="24"/>
                <w:u w:val="none"/>
                <w:lang w:val="en-US" w:eastAsia="zh-CN" w:bidi="ar"/>
              </w:rPr>
              <w:t>（含税）</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7"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加湿器</w:t>
            </w:r>
          </w:p>
        </w:tc>
        <w:tc>
          <w:tcPr>
            <w:tcW w:w="24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ahoma" w:hAnsi="Tahoma" w:eastAsia="Tahoma" w:cs="Tahoma"/>
                <w:i w:val="0"/>
                <w:iCs w:val="0"/>
                <w:color w:val="000000"/>
                <w:sz w:val="22"/>
                <w:szCs w:val="22"/>
                <w:u w:val="none"/>
              </w:rPr>
            </w:pPr>
            <w:r>
              <w:rPr>
                <w:rFonts w:ascii="宋体" w:hAnsi="宋体" w:eastAsia="宋体" w:cs="宋体"/>
                <w:i w:val="0"/>
                <w:iCs w:val="0"/>
                <w:color w:val="000000"/>
                <w:kern w:val="0"/>
                <w:sz w:val="24"/>
                <w:szCs w:val="24"/>
                <w:u w:val="none"/>
                <w:lang w:val="en-US" w:eastAsia="zh-CN" w:bidi="ar"/>
              </w:rPr>
              <w:t>产品名称：加湿器</w:t>
            </w:r>
            <w:r>
              <w:rPr>
                <w:rFonts w:ascii="宋体" w:hAnsi="宋体" w:eastAsia="宋体" w:cs="宋体"/>
                <w:i w:val="0"/>
                <w:iCs w:val="0"/>
                <w:color w:val="000000"/>
                <w:kern w:val="0"/>
                <w:sz w:val="24"/>
                <w:szCs w:val="24"/>
                <w:u w:val="none"/>
                <w:lang w:val="en-US" w:eastAsia="zh-CN" w:bidi="ar"/>
              </w:rPr>
              <w:br w:type="textWrapping"/>
            </w:r>
            <w:r>
              <w:rPr>
                <w:rFonts w:ascii="宋体" w:hAnsi="宋体" w:eastAsia="宋体" w:cs="宋体"/>
                <w:i w:val="0"/>
                <w:iCs w:val="0"/>
                <w:color w:val="000000"/>
                <w:kern w:val="0"/>
                <w:sz w:val="24"/>
                <w:szCs w:val="24"/>
                <w:u w:val="none"/>
                <w:lang w:val="en-US" w:eastAsia="zh-CN" w:bidi="ar"/>
              </w:rPr>
              <w:t>参照型号：SC-3E40</w:t>
            </w:r>
            <w:r>
              <w:rPr>
                <w:rFonts w:ascii="宋体" w:hAnsi="宋体" w:eastAsia="宋体" w:cs="宋体"/>
                <w:i w:val="0"/>
                <w:iCs w:val="0"/>
                <w:color w:val="000000"/>
                <w:kern w:val="0"/>
                <w:sz w:val="24"/>
                <w:szCs w:val="24"/>
                <w:u w:val="none"/>
                <w:lang w:val="en-US" w:eastAsia="zh-CN" w:bidi="ar"/>
              </w:rPr>
              <w:br w:type="textWrapping"/>
            </w:r>
            <w:r>
              <w:rPr>
                <w:rFonts w:ascii="宋体" w:hAnsi="宋体" w:eastAsia="宋体" w:cs="宋体"/>
                <w:i w:val="0"/>
                <w:iCs w:val="0"/>
                <w:color w:val="000000"/>
                <w:kern w:val="0"/>
                <w:sz w:val="24"/>
                <w:szCs w:val="24"/>
                <w:u w:val="none"/>
                <w:lang w:val="en-US" w:eastAsia="zh-CN" w:bidi="ar"/>
              </w:rPr>
              <w:t>毛重：1.35kg</w:t>
            </w:r>
            <w:r>
              <w:rPr>
                <w:rFonts w:ascii="宋体" w:hAnsi="宋体" w:eastAsia="宋体" w:cs="宋体"/>
                <w:i w:val="0"/>
                <w:iCs w:val="0"/>
                <w:color w:val="000000"/>
                <w:kern w:val="0"/>
                <w:sz w:val="24"/>
                <w:szCs w:val="24"/>
                <w:u w:val="none"/>
                <w:lang w:val="en-US" w:eastAsia="zh-CN" w:bidi="ar"/>
              </w:rPr>
              <w:br w:type="textWrapping"/>
            </w:r>
            <w:r>
              <w:rPr>
                <w:rFonts w:ascii="宋体" w:hAnsi="宋体" w:eastAsia="宋体" w:cs="宋体"/>
                <w:i w:val="0"/>
                <w:iCs w:val="0"/>
                <w:color w:val="000000"/>
                <w:kern w:val="0"/>
                <w:sz w:val="24"/>
                <w:szCs w:val="24"/>
                <w:u w:val="none"/>
                <w:lang w:val="en-US" w:eastAsia="zh-CN" w:bidi="ar"/>
              </w:rPr>
              <w:t>净重：1.0kg</w:t>
            </w:r>
            <w:r>
              <w:rPr>
                <w:rFonts w:ascii="宋体" w:hAnsi="宋体" w:eastAsia="宋体" w:cs="宋体"/>
                <w:i w:val="0"/>
                <w:iCs w:val="0"/>
                <w:color w:val="000000"/>
                <w:kern w:val="0"/>
                <w:sz w:val="24"/>
                <w:szCs w:val="24"/>
                <w:u w:val="none"/>
                <w:lang w:val="en-US" w:eastAsia="zh-CN" w:bidi="ar"/>
              </w:rPr>
              <w:br w:type="textWrapping"/>
            </w:r>
            <w:r>
              <w:rPr>
                <w:rFonts w:ascii="宋体" w:hAnsi="宋体" w:eastAsia="宋体" w:cs="宋体"/>
                <w:i w:val="0"/>
                <w:iCs w:val="0"/>
                <w:color w:val="000000"/>
                <w:kern w:val="0"/>
                <w:sz w:val="24"/>
                <w:szCs w:val="24"/>
                <w:u w:val="none"/>
                <w:lang w:val="en-US" w:eastAsia="zh-CN" w:bidi="ar"/>
              </w:rPr>
              <w:t>参照商品：美的</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4"/>
                <w:szCs w:val="24"/>
                <w:u w:val="none"/>
              </w:rPr>
            </w:pPr>
          </w:p>
        </w:tc>
        <w:tc>
          <w:tcPr>
            <w:tcW w:w="1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4"/>
                <w:szCs w:val="24"/>
                <w:u w:val="none"/>
              </w:rPr>
            </w:pPr>
          </w:p>
        </w:tc>
        <w:tc>
          <w:tcPr>
            <w:tcW w:w="1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9"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吹风机</w:t>
            </w:r>
          </w:p>
        </w:tc>
        <w:tc>
          <w:tcPr>
            <w:tcW w:w="24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酒店专用</w:t>
            </w:r>
            <w:r>
              <w:rPr>
                <w:rFonts w:ascii="宋体" w:hAnsi="宋体" w:eastAsia="宋体" w:cs="宋体"/>
                <w:i w:val="0"/>
                <w:iCs w:val="0"/>
                <w:color w:val="000000"/>
                <w:kern w:val="0"/>
                <w:sz w:val="24"/>
                <w:szCs w:val="24"/>
                <w:u w:val="none"/>
                <w:lang w:val="en-US" w:eastAsia="zh-CN" w:bidi="ar"/>
              </w:rPr>
              <w:br w:type="textWrapping"/>
            </w:r>
            <w:r>
              <w:rPr>
                <w:rFonts w:ascii="宋体" w:hAnsi="宋体" w:eastAsia="宋体" w:cs="宋体"/>
                <w:i w:val="0"/>
                <w:iCs w:val="0"/>
                <w:color w:val="000000"/>
                <w:kern w:val="0"/>
                <w:sz w:val="24"/>
                <w:szCs w:val="24"/>
                <w:u w:val="none"/>
                <w:lang w:val="en-US" w:eastAsia="zh-CN" w:bidi="ar"/>
              </w:rPr>
              <w:t>功率：1400</w:t>
            </w:r>
            <w:r>
              <w:rPr>
                <w:rFonts w:ascii="宋体" w:hAnsi="宋体" w:eastAsia="宋体" w:cs="宋体"/>
                <w:i w:val="0"/>
                <w:iCs w:val="0"/>
                <w:color w:val="000000"/>
                <w:kern w:val="0"/>
                <w:sz w:val="24"/>
                <w:szCs w:val="24"/>
                <w:u w:val="none"/>
                <w:lang w:val="en-US" w:eastAsia="zh-CN" w:bidi="ar"/>
              </w:rPr>
              <w:br w:type="textWrapping"/>
            </w:r>
            <w:r>
              <w:rPr>
                <w:rFonts w:ascii="宋体" w:hAnsi="宋体" w:eastAsia="宋体" w:cs="宋体"/>
                <w:i w:val="0"/>
                <w:iCs w:val="0"/>
                <w:color w:val="000000"/>
                <w:kern w:val="0"/>
                <w:sz w:val="24"/>
                <w:szCs w:val="24"/>
                <w:u w:val="none"/>
                <w:lang w:val="en-US" w:eastAsia="zh-CN" w:bidi="ar"/>
              </w:rPr>
              <w:t>冷热风</w:t>
            </w:r>
            <w:r>
              <w:rPr>
                <w:rFonts w:ascii="宋体" w:hAnsi="宋体" w:eastAsia="宋体" w:cs="宋体"/>
                <w:i w:val="0"/>
                <w:iCs w:val="0"/>
                <w:color w:val="000000"/>
                <w:kern w:val="0"/>
                <w:sz w:val="24"/>
                <w:szCs w:val="24"/>
                <w:u w:val="none"/>
                <w:lang w:val="en-US" w:eastAsia="zh-CN" w:bidi="ar"/>
              </w:rPr>
              <w:br w:type="textWrapping"/>
            </w:r>
            <w:r>
              <w:rPr>
                <w:rFonts w:ascii="宋体" w:hAnsi="宋体" w:eastAsia="宋体" w:cs="宋体"/>
                <w:i w:val="0"/>
                <w:iCs w:val="0"/>
                <w:color w:val="000000"/>
                <w:kern w:val="0"/>
                <w:sz w:val="24"/>
                <w:szCs w:val="24"/>
                <w:u w:val="none"/>
                <w:lang w:val="en-US" w:eastAsia="zh-CN" w:bidi="ar"/>
              </w:rPr>
              <w:t>高温自动断电</w:t>
            </w:r>
            <w:r>
              <w:rPr>
                <w:rFonts w:ascii="宋体" w:hAnsi="宋体" w:eastAsia="宋体" w:cs="宋体"/>
                <w:i w:val="0"/>
                <w:iCs w:val="0"/>
                <w:color w:val="000000"/>
                <w:kern w:val="0"/>
                <w:sz w:val="24"/>
                <w:szCs w:val="24"/>
                <w:u w:val="none"/>
                <w:lang w:val="en-US" w:eastAsia="zh-CN" w:bidi="ar"/>
              </w:rPr>
              <w:br w:type="textWrapping"/>
            </w:r>
            <w:r>
              <w:rPr>
                <w:rFonts w:ascii="宋体" w:hAnsi="宋体" w:eastAsia="宋体" w:cs="宋体"/>
                <w:i w:val="0"/>
                <w:iCs w:val="0"/>
                <w:color w:val="000000"/>
                <w:kern w:val="0"/>
                <w:sz w:val="24"/>
                <w:szCs w:val="24"/>
                <w:u w:val="none"/>
                <w:lang w:val="en-US" w:eastAsia="zh-CN" w:bidi="ar"/>
              </w:rPr>
              <w:t>符合国家相关电器标准</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4"/>
                <w:szCs w:val="24"/>
                <w:u w:val="none"/>
              </w:rPr>
            </w:pPr>
          </w:p>
        </w:tc>
        <w:tc>
          <w:tcPr>
            <w:tcW w:w="1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4"/>
                <w:szCs w:val="24"/>
                <w:u w:val="none"/>
              </w:rPr>
            </w:pPr>
            <w:r>
              <w:rPr>
                <w:rFonts w:hint="default" w:ascii="Tahoma" w:hAnsi="Tahoma" w:eastAsia="Tahoma" w:cs="Tahoma"/>
                <w:i w:val="0"/>
                <w:iCs w:val="0"/>
                <w:color w:val="000000"/>
                <w:kern w:val="0"/>
                <w:sz w:val="24"/>
                <w:szCs w:val="24"/>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1187450</wp:posOffset>
                  </wp:positionH>
                  <wp:positionV relativeFrom="paragraph">
                    <wp:posOffset>190500</wp:posOffset>
                  </wp:positionV>
                  <wp:extent cx="687705" cy="0"/>
                  <wp:effectExtent l="0" t="0" r="0" b="0"/>
                  <wp:wrapNone/>
                  <wp:docPr id="42" name="图片_6"/>
                  <wp:cNvGraphicFramePr/>
                  <a:graphic xmlns:a="http://schemas.openxmlformats.org/drawingml/2006/main">
                    <a:graphicData uri="http://schemas.openxmlformats.org/drawingml/2006/picture">
                      <pic:pic xmlns:pic="http://schemas.openxmlformats.org/drawingml/2006/picture">
                        <pic:nvPicPr>
                          <pic:cNvPr id="42" name="图片_6"/>
                          <pic:cNvPicPr/>
                        </pic:nvPicPr>
                        <pic:blipFill>
                          <a:blip r:embed="rId32"/>
                          <a:stretch>
                            <a:fillRect/>
                          </a:stretch>
                        </pic:blipFill>
                        <pic:spPr>
                          <a:xfrm>
                            <a:off x="0" y="0"/>
                            <a:ext cx="687705" cy="0"/>
                          </a:xfrm>
                          <a:prstGeom prst="rect">
                            <a:avLst/>
                          </a:prstGeom>
                          <a:noFill/>
                          <a:ln>
                            <a:noFill/>
                          </a:ln>
                        </pic:spPr>
                      </pic:pic>
                    </a:graphicData>
                  </a:graphic>
                </wp:anchor>
              </w:drawing>
            </w:r>
          </w:p>
        </w:tc>
        <w:tc>
          <w:tcPr>
            <w:tcW w:w="1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9"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电热水壶</w:t>
            </w:r>
          </w:p>
        </w:tc>
        <w:tc>
          <w:tcPr>
            <w:tcW w:w="24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ascii="宋体" w:hAnsi="宋体" w:eastAsia="宋体" w:cs="宋体"/>
                <w:i w:val="0"/>
                <w:iCs w:val="0"/>
                <w:color w:val="000000"/>
                <w:kern w:val="0"/>
                <w:sz w:val="24"/>
                <w:szCs w:val="24"/>
                <w:u w:val="none"/>
                <w:lang w:val="en-US" w:eastAsia="zh-CN" w:bidi="ar"/>
              </w:rPr>
              <w:t>参照品牌：美的</w:t>
            </w:r>
            <w:r>
              <w:rPr>
                <w:rFonts w:ascii="宋体" w:hAnsi="宋体" w:eastAsia="宋体" w:cs="宋体"/>
                <w:i w:val="0"/>
                <w:iCs w:val="0"/>
                <w:color w:val="000000"/>
                <w:kern w:val="0"/>
                <w:sz w:val="24"/>
                <w:szCs w:val="24"/>
                <w:u w:val="none"/>
                <w:lang w:val="en-US" w:eastAsia="zh-CN" w:bidi="ar"/>
              </w:rPr>
              <w:br w:type="textWrapping"/>
            </w:r>
            <w:r>
              <w:rPr>
                <w:rFonts w:ascii="宋体" w:hAnsi="宋体" w:eastAsia="宋体" w:cs="宋体"/>
                <w:i w:val="0"/>
                <w:iCs w:val="0"/>
                <w:color w:val="000000"/>
                <w:kern w:val="0"/>
                <w:sz w:val="24"/>
                <w:szCs w:val="24"/>
                <w:u w:val="none"/>
                <w:lang w:val="en-US" w:eastAsia="zh-CN" w:bidi="ar"/>
              </w:rPr>
              <w:t>要求：壶嘴敞开式，易清洗。无需过滤功能，容量：1.2升，三层防烫，304不锈钢，水开自动断电，防干烧</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4"/>
                <w:szCs w:val="24"/>
                <w:u w:val="none"/>
              </w:rPr>
            </w:pPr>
          </w:p>
        </w:tc>
        <w:tc>
          <w:tcPr>
            <w:tcW w:w="1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kern w:val="0"/>
                <w:sz w:val="24"/>
                <w:szCs w:val="24"/>
                <w:u w:val="none"/>
                <w:bdr w:val="single" w:color="000000" w:sz="4" w:space="0"/>
                <w:lang w:val="en-US" w:eastAsia="zh-CN" w:bidi="ar"/>
              </w:rPr>
            </w:pPr>
          </w:p>
        </w:tc>
        <w:tc>
          <w:tcPr>
            <w:tcW w:w="19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r>
              <w:drawing>
                <wp:inline distT="0" distB="0" distL="114300" distR="114300">
                  <wp:extent cx="1085215" cy="1152525"/>
                  <wp:effectExtent l="0" t="0" r="635" b="9525"/>
                  <wp:docPr id="11" name="图片 10"/>
                  <wp:cNvGraphicFramePr/>
                  <a:graphic xmlns:a="http://schemas.openxmlformats.org/drawingml/2006/main">
                    <a:graphicData uri="http://schemas.openxmlformats.org/drawingml/2006/picture">
                      <pic:pic xmlns:pic="http://schemas.openxmlformats.org/drawingml/2006/picture">
                        <pic:nvPicPr>
                          <pic:cNvPr id="11" name="图片 10"/>
                          <pic:cNvPicPr/>
                        </pic:nvPicPr>
                        <pic:blipFill>
                          <a:blip r:embed="rId33"/>
                          <a:stretch>
                            <a:fillRect/>
                          </a:stretch>
                        </pic:blipFill>
                        <pic:spPr>
                          <a:xfrm>
                            <a:off x="0" y="0"/>
                            <a:ext cx="1085215" cy="1152525"/>
                          </a:xfrm>
                          <a:prstGeom prst="rect">
                            <a:avLst/>
                          </a:prstGeom>
                        </pic:spPr>
                      </pic:pic>
                    </a:graphicData>
                  </a:graphic>
                </wp:inline>
              </w:drawing>
            </w:r>
          </w:p>
        </w:tc>
      </w:tr>
    </w:tbl>
    <w:p>
      <w:pPr>
        <w:pStyle w:val="6"/>
        <w:rPr>
          <w:rFonts w:hint="default"/>
          <w:lang w:val="en-US" w:eastAsia="zh-CN"/>
        </w:rPr>
      </w:pP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561" w:firstLineChars="200"/>
        <w:textAlignment w:val="auto"/>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备注：以上需要提供样品。</w:t>
      </w:r>
    </w:p>
    <w:p>
      <w:pPr>
        <w:pStyle w:val="2"/>
        <w:rPr>
          <w:rFonts w:hint="eastAsia"/>
          <w:lang w:val="en-US" w:eastAsia="zh-CN"/>
        </w:rPr>
      </w:pP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1" w:firstLineChars="200"/>
        <w:textAlignment w:val="auto"/>
        <w:rPr>
          <w:rFonts w:hint="default" w:ascii="仿宋_GB2312" w:hAnsi="Calibri" w:eastAsia="仿宋_GB2312" w:cs="Calibri"/>
          <w:b/>
          <w:bCs/>
          <w:color w:val="auto"/>
          <w:kern w:val="2"/>
          <w:sz w:val="30"/>
          <w:szCs w:val="30"/>
          <w:lang w:val="en-US" w:eastAsia="zh-CN" w:bidi="ar-SA"/>
        </w:rPr>
      </w:pPr>
      <w:r>
        <w:rPr>
          <w:rFonts w:hint="eastAsia" w:ascii="仿宋_GB2312" w:hAnsi="Calibri" w:eastAsia="仿宋_GB2312" w:cs="Calibri"/>
          <w:b/>
          <w:bCs/>
          <w:color w:val="auto"/>
          <w:kern w:val="2"/>
          <w:sz w:val="30"/>
          <w:szCs w:val="30"/>
          <w:lang w:val="en-US" w:eastAsia="zh-CN" w:bidi="ar-SA"/>
        </w:rPr>
        <w:t>（</w:t>
      </w:r>
      <w:r>
        <w:rPr>
          <w:rFonts w:hint="eastAsia" w:ascii="仿宋_GB2312" w:eastAsia="仿宋_GB2312" w:cs="Calibri"/>
          <w:b/>
          <w:bCs/>
          <w:color w:val="auto"/>
          <w:kern w:val="2"/>
          <w:sz w:val="30"/>
          <w:szCs w:val="30"/>
          <w:lang w:val="en-US" w:eastAsia="zh-CN" w:bidi="ar-SA"/>
        </w:rPr>
        <w:t>三</w:t>
      </w:r>
      <w:r>
        <w:rPr>
          <w:rFonts w:hint="eastAsia" w:ascii="仿宋_GB2312" w:hAnsi="Calibri" w:eastAsia="仿宋_GB2312" w:cs="Calibri"/>
          <w:b/>
          <w:bCs/>
          <w:color w:val="auto"/>
          <w:kern w:val="2"/>
          <w:sz w:val="30"/>
          <w:szCs w:val="30"/>
          <w:lang w:val="en-US" w:eastAsia="zh-CN" w:bidi="ar-SA"/>
        </w:rPr>
        <w:t>）</w:t>
      </w:r>
      <w:r>
        <w:rPr>
          <w:rFonts w:hint="eastAsia" w:ascii="仿宋_GB2312" w:eastAsia="仿宋_GB2312" w:cs="Calibri"/>
          <w:b/>
          <w:bCs/>
          <w:color w:val="auto"/>
          <w:kern w:val="2"/>
          <w:sz w:val="30"/>
          <w:szCs w:val="30"/>
          <w:lang w:val="en-US" w:eastAsia="zh-CN" w:bidi="ar-SA"/>
        </w:rPr>
        <w:t>供货要求</w:t>
      </w:r>
    </w:p>
    <w:p>
      <w:pPr>
        <w:tabs>
          <w:tab w:val="left" w:pos="425"/>
        </w:tabs>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1.供货地点：由中标方按照要求提供货物至鄂尔多斯国际机场。</w:t>
      </w:r>
    </w:p>
    <w:p>
      <w:pPr>
        <w:tabs>
          <w:tab w:val="left" w:pos="425"/>
        </w:tabs>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2.交货日期：双方签订合同后</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电器类为一次性供货，其他耗品、六小件等按需进行供货，具体供货时间由招标方使用部门根据实际情况进行订货，每次供货时间从招标人发起到中标人供货时间不得超过30天</w:t>
      </w:r>
      <w:r>
        <w:rPr>
          <w:rFonts w:hint="eastAsia" w:ascii="仿宋" w:hAnsi="仿宋" w:eastAsia="仿宋" w:cs="仿宋"/>
          <w:color w:val="auto"/>
          <w:sz w:val="28"/>
          <w:szCs w:val="28"/>
        </w:rPr>
        <w:t>。</w:t>
      </w:r>
    </w:p>
    <w:p>
      <w:pPr>
        <w:pStyle w:val="6"/>
        <w:ind w:firstLine="560" w:firstLineChars="200"/>
        <w:jc w:val="both"/>
        <w:rPr>
          <w:rFonts w:hint="eastAsia" w:ascii="仿宋" w:hAnsi="仿宋" w:eastAsia="仿宋" w:cs="仿宋"/>
          <w:b w:val="0"/>
          <w:color w:val="auto"/>
          <w:kern w:val="2"/>
          <w:sz w:val="28"/>
          <w:szCs w:val="28"/>
          <w:lang w:val="en-US" w:eastAsia="zh-CN" w:bidi="ar-SA"/>
        </w:rPr>
      </w:pPr>
      <w:r>
        <w:rPr>
          <w:rFonts w:hint="eastAsia" w:ascii="仿宋" w:hAnsi="仿宋" w:eastAsia="仿宋" w:cs="仿宋"/>
          <w:b w:val="0"/>
          <w:color w:val="auto"/>
          <w:kern w:val="2"/>
          <w:sz w:val="28"/>
          <w:szCs w:val="28"/>
          <w:lang w:val="en-US" w:eastAsia="zh-CN" w:bidi="ar-SA"/>
        </w:rPr>
        <w:t>3.每次供货清单为一式三联，经双方指定人员签字后，作为后续报销及验收依据。</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1" w:firstLineChars="200"/>
        <w:textAlignment w:val="auto"/>
        <w:rPr>
          <w:rFonts w:hint="default" w:ascii="仿宋_GB2312" w:eastAsia="仿宋_GB2312" w:cs="Calibri"/>
          <w:b/>
          <w:bCs/>
          <w:color w:val="auto"/>
          <w:kern w:val="2"/>
          <w:sz w:val="30"/>
          <w:szCs w:val="30"/>
          <w:lang w:val="en-US" w:eastAsia="zh-CN" w:bidi="ar-SA"/>
        </w:rPr>
      </w:pPr>
      <w:r>
        <w:rPr>
          <w:rFonts w:hint="eastAsia" w:ascii="仿宋_GB2312" w:eastAsia="仿宋_GB2312" w:cs="Calibri"/>
          <w:b/>
          <w:bCs/>
          <w:color w:val="auto"/>
          <w:kern w:val="2"/>
          <w:sz w:val="30"/>
          <w:szCs w:val="30"/>
          <w:lang w:val="en-US" w:eastAsia="zh-CN" w:bidi="ar-SA"/>
        </w:rPr>
        <w:t>（四）其他要求</w:t>
      </w:r>
    </w:p>
    <w:p>
      <w:pPr>
        <w:tabs>
          <w:tab w:val="left" w:pos="425"/>
        </w:tabs>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退换货：</w:t>
      </w:r>
      <w:r>
        <w:rPr>
          <w:rFonts w:hint="eastAsia" w:ascii="仿宋" w:hAnsi="仿宋" w:eastAsia="仿宋" w:cs="仿宋"/>
          <w:color w:val="auto"/>
          <w:sz w:val="28"/>
          <w:szCs w:val="28"/>
          <w:lang w:val="en-US" w:eastAsia="zh-CN"/>
        </w:rPr>
        <w:t>收到产品</w:t>
      </w:r>
      <w:r>
        <w:rPr>
          <w:rFonts w:hint="eastAsia" w:ascii="仿宋" w:hAnsi="仿宋" w:eastAsia="仿宋" w:cs="仿宋"/>
          <w:color w:val="auto"/>
          <w:sz w:val="28"/>
          <w:szCs w:val="28"/>
        </w:rPr>
        <w:t>试用期为</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天，</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天内</w:t>
      </w:r>
      <w:r>
        <w:rPr>
          <w:rFonts w:hint="eastAsia" w:ascii="仿宋" w:hAnsi="仿宋" w:eastAsia="仿宋" w:cs="仿宋"/>
          <w:color w:val="auto"/>
          <w:sz w:val="28"/>
          <w:szCs w:val="28"/>
          <w:lang w:val="en-US" w:eastAsia="zh-CN"/>
        </w:rPr>
        <w:t>如有质量</w:t>
      </w:r>
      <w:r>
        <w:rPr>
          <w:rFonts w:hint="eastAsia" w:ascii="仿宋" w:hAnsi="仿宋" w:eastAsia="仿宋" w:cs="仿宋"/>
          <w:color w:val="auto"/>
          <w:sz w:val="28"/>
          <w:szCs w:val="28"/>
        </w:rPr>
        <w:t>问题</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采购方有权要求中标方进行更换或退货。合同期内，如因货物质量问题造成的损坏，采购方有权要求中标方如数</w:t>
      </w:r>
      <w:r>
        <w:rPr>
          <w:rFonts w:hint="eastAsia" w:ascii="仿宋" w:hAnsi="仿宋" w:eastAsia="仿宋" w:cs="仿宋"/>
          <w:color w:val="auto"/>
          <w:sz w:val="28"/>
          <w:szCs w:val="28"/>
          <w:lang w:val="en-US" w:eastAsia="zh-CN"/>
        </w:rPr>
        <w:t>更换</w:t>
      </w:r>
      <w:r>
        <w:rPr>
          <w:rFonts w:hint="eastAsia" w:ascii="仿宋" w:hAnsi="仿宋" w:eastAsia="仿宋" w:cs="仿宋"/>
          <w:color w:val="auto"/>
          <w:sz w:val="28"/>
          <w:szCs w:val="28"/>
        </w:rPr>
        <w:t>。</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以上物品需提供物品检测报告。</w:t>
      </w:r>
    </w:p>
    <w:p>
      <w:pPr>
        <w:tabs>
          <w:tab w:val="left" w:pos="425"/>
        </w:tabs>
        <w:spacing w:line="360" w:lineRule="auto"/>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3.投标过程中提供的样品需保留至招标人。</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1" w:firstLineChars="200"/>
        <w:textAlignment w:val="auto"/>
        <w:rPr>
          <w:rFonts w:hint="eastAsia" w:ascii="仿宋_GB2312" w:hAnsi="Calibri" w:eastAsia="仿宋_GB2312" w:cs="Calibri"/>
          <w:b/>
          <w:bCs/>
          <w:color w:val="auto"/>
          <w:kern w:val="2"/>
          <w:sz w:val="30"/>
          <w:szCs w:val="30"/>
          <w:lang w:val="en-US" w:eastAsia="zh-CN" w:bidi="ar-SA"/>
        </w:rPr>
      </w:pPr>
      <w:r>
        <w:rPr>
          <w:rFonts w:hint="eastAsia" w:ascii="仿宋_GB2312" w:hAnsi="Calibri" w:eastAsia="仿宋_GB2312" w:cs="Calibri"/>
          <w:b/>
          <w:bCs/>
          <w:color w:val="auto"/>
          <w:kern w:val="2"/>
          <w:sz w:val="30"/>
          <w:szCs w:val="30"/>
          <w:lang w:val="en-US" w:eastAsia="zh-CN" w:bidi="ar-SA"/>
        </w:rPr>
        <w:t>（</w:t>
      </w:r>
      <w:r>
        <w:rPr>
          <w:rFonts w:hint="eastAsia" w:ascii="仿宋_GB2312" w:eastAsia="仿宋_GB2312" w:cs="Calibri"/>
          <w:b/>
          <w:bCs/>
          <w:color w:val="auto"/>
          <w:kern w:val="2"/>
          <w:sz w:val="30"/>
          <w:szCs w:val="30"/>
          <w:lang w:val="en-US" w:eastAsia="zh-CN" w:bidi="ar-SA"/>
        </w:rPr>
        <w:t>五</w:t>
      </w:r>
      <w:r>
        <w:rPr>
          <w:rFonts w:hint="eastAsia" w:ascii="仿宋_GB2312" w:hAnsi="Calibri" w:eastAsia="仿宋_GB2312" w:cs="Calibri"/>
          <w:b/>
          <w:bCs/>
          <w:color w:val="auto"/>
          <w:kern w:val="2"/>
          <w:sz w:val="30"/>
          <w:szCs w:val="30"/>
          <w:lang w:val="en-US" w:eastAsia="zh-CN" w:bidi="ar-SA"/>
        </w:rPr>
        <w:t>）验收标准</w:t>
      </w:r>
    </w:p>
    <w:p>
      <w:pPr>
        <w:ind w:firstLine="560" w:firstLineChars="200"/>
        <w:rPr>
          <w:rFonts w:ascii="仿宋" w:hAnsi="仿宋" w:eastAsia="仿宋"/>
          <w:color w:val="auto"/>
          <w:sz w:val="28"/>
          <w:szCs w:val="28"/>
        </w:rPr>
      </w:pPr>
      <w:r>
        <w:rPr>
          <w:rFonts w:hint="eastAsia" w:ascii="仿宋" w:hAnsi="仿宋" w:eastAsia="仿宋"/>
          <w:color w:val="auto"/>
          <w:sz w:val="28"/>
          <w:szCs w:val="28"/>
          <w:lang w:val="en-US" w:eastAsia="zh-CN"/>
        </w:rPr>
        <w:t>投标方提供货物，需提交相关检测或材质报告等相关佐证后，</w:t>
      </w:r>
      <w:r>
        <w:rPr>
          <w:rFonts w:hint="eastAsia" w:ascii="仿宋" w:hAnsi="仿宋" w:eastAsia="仿宋"/>
          <w:color w:val="auto"/>
          <w:sz w:val="28"/>
          <w:szCs w:val="28"/>
        </w:rPr>
        <w:t>可验收。</w:t>
      </w:r>
    </w:p>
    <w:p>
      <w:pPr>
        <w:spacing w:line="360" w:lineRule="auto"/>
        <w:ind w:firstLine="561" w:firstLineChars="200"/>
        <w:jc w:val="left"/>
        <w:outlineLvl w:val="1"/>
        <w:rPr>
          <w:rFonts w:hint="eastAsia" w:ascii="仿宋" w:hAnsi="仿宋" w:eastAsia="仿宋" w:cs="Cambria"/>
          <w:b/>
          <w:bCs/>
          <w:color w:val="auto"/>
          <w:kern w:val="0"/>
          <w:sz w:val="28"/>
          <w:szCs w:val="32"/>
        </w:rPr>
      </w:pPr>
      <w:bookmarkStart w:id="10" w:name="_Toc5478"/>
      <w:r>
        <w:rPr>
          <w:rFonts w:hint="eastAsia" w:ascii="仿宋" w:hAnsi="仿宋" w:eastAsia="仿宋" w:cs="Cambria"/>
          <w:b/>
          <w:bCs/>
          <w:color w:val="auto"/>
          <w:kern w:val="0"/>
          <w:sz w:val="28"/>
          <w:szCs w:val="32"/>
        </w:rPr>
        <w:t>三、其他</w:t>
      </w:r>
      <w:bookmarkEnd w:id="10"/>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eastAsia="zh-CN"/>
        </w:rPr>
        <w:t>1</w:t>
      </w:r>
      <w:r>
        <w:rPr>
          <w:rFonts w:hint="eastAsia" w:ascii="仿宋" w:hAnsi="仿宋" w:eastAsia="仿宋"/>
          <w:color w:val="auto"/>
          <w:sz w:val="28"/>
          <w:szCs w:val="28"/>
          <w:lang w:val="en-US" w:eastAsia="zh-CN"/>
        </w:rPr>
        <w:t>.</w:t>
      </w:r>
      <w:r>
        <w:rPr>
          <w:rFonts w:hint="eastAsia" w:ascii="仿宋" w:hAnsi="仿宋" w:eastAsia="仿宋"/>
          <w:color w:val="auto"/>
          <w:sz w:val="28"/>
          <w:szCs w:val="28"/>
          <w:lang w:eastAsia="zh-CN"/>
        </w:rPr>
        <w:t xml:space="preserve">服务范围中服务内容的增加或减少以实际发生为准，各业务承接以交付的时间为准。 </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2.</w:t>
      </w:r>
      <w:r>
        <w:rPr>
          <w:rFonts w:hint="eastAsia" w:ascii="仿宋" w:hAnsi="仿宋" w:eastAsia="仿宋"/>
          <w:color w:val="auto"/>
          <w:sz w:val="28"/>
          <w:szCs w:val="28"/>
          <w:lang w:eastAsia="zh-CN"/>
        </w:rPr>
        <w:t>请供应商如有疑问，请与项目联系人联系，联系时间截止为于</w:t>
      </w:r>
      <w:r>
        <w:rPr>
          <w:rFonts w:hint="eastAsia" w:ascii="仿宋" w:hAnsi="仿宋" w:eastAsia="仿宋"/>
          <w:color w:val="auto"/>
          <w:sz w:val="28"/>
          <w:szCs w:val="28"/>
          <w:lang w:val="en-US" w:eastAsia="zh-CN"/>
        </w:rPr>
        <w:t>5</w:t>
      </w:r>
      <w:r>
        <w:rPr>
          <w:rFonts w:hint="eastAsia" w:ascii="仿宋" w:hAnsi="仿宋" w:eastAsia="仿宋"/>
          <w:color w:val="auto"/>
          <w:sz w:val="28"/>
          <w:szCs w:val="28"/>
          <w:lang w:eastAsia="zh-CN"/>
        </w:rPr>
        <w:t>月</w:t>
      </w:r>
      <w:r>
        <w:rPr>
          <w:rFonts w:hint="eastAsia" w:ascii="仿宋" w:hAnsi="仿宋" w:eastAsia="仿宋"/>
          <w:color w:val="auto"/>
          <w:sz w:val="28"/>
          <w:szCs w:val="28"/>
          <w:lang w:val="en-US" w:eastAsia="zh-CN"/>
        </w:rPr>
        <w:t>30</w:t>
      </w:r>
      <w:r>
        <w:rPr>
          <w:rFonts w:hint="eastAsia" w:ascii="仿宋" w:hAnsi="仿宋" w:eastAsia="仿宋"/>
          <w:color w:val="auto"/>
          <w:sz w:val="28"/>
          <w:szCs w:val="28"/>
          <w:lang w:eastAsia="zh-CN"/>
        </w:rPr>
        <w:t>日1</w:t>
      </w:r>
      <w:r>
        <w:rPr>
          <w:rFonts w:hint="eastAsia" w:ascii="仿宋" w:hAnsi="仿宋" w:eastAsia="仿宋"/>
          <w:color w:val="auto"/>
          <w:sz w:val="28"/>
          <w:szCs w:val="28"/>
          <w:lang w:val="en-US" w:eastAsia="zh-CN"/>
        </w:rPr>
        <w:t>6</w:t>
      </w:r>
      <w:r>
        <w:rPr>
          <w:rFonts w:hint="eastAsia" w:ascii="仿宋" w:hAnsi="仿宋" w:eastAsia="仿宋"/>
          <w:color w:val="auto"/>
          <w:sz w:val="28"/>
          <w:szCs w:val="28"/>
          <w:lang w:eastAsia="zh-CN"/>
        </w:rPr>
        <w:t>:00（</w:t>
      </w:r>
      <w:r>
        <w:rPr>
          <w:rFonts w:hint="eastAsia" w:ascii="仿宋" w:hAnsi="仿宋" w:eastAsia="仿宋"/>
          <w:color w:val="auto"/>
          <w:sz w:val="28"/>
          <w:szCs w:val="28"/>
          <w:lang w:val="en-US" w:eastAsia="zh-CN"/>
        </w:rPr>
        <w:t>仅限工作日内</w:t>
      </w:r>
      <w:r>
        <w:rPr>
          <w:rFonts w:hint="eastAsia" w:ascii="仿宋" w:hAnsi="仿宋" w:eastAsia="仿宋"/>
          <w:color w:val="auto"/>
          <w:sz w:val="28"/>
          <w:szCs w:val="28"/>
          <w:lang w:eastAsia="zh-CN"/>
        </w:rPr>
        <w:t>）。</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eastAsia="zh-CN"/>
        </w:rPr>
        <w:t>联系人：</w:t>
      </w:r>
      <w:r>
        <w:rPr>
          <w:rFonts w:hint="eastAsia" w:ascii="仿宋" w:hAnsi="仿宋" w:eastAsia="仿宋"/>
          <w:color w:val="auto"/>
          <w:sz w:val="28"/>
          <w:szCs w:val="28"/>
          <w:lang w:val="en-US" w:eastAsia="zh-CN"/>
        </w:rPr>
        <w:t>尉迟先生</w:t>
      </w:r>
      <w:r>
        <w:rPr>
          <w:rFonts w:hint="eastAsia" w:ascii="仿宋" w:hAnsi="仿宋" w:eastAsia="仿宋"/>
          <w:color w:val="auto"/>
          <w:sz w:val="28"/>
          <w:szCs w:val="28"/>
          <w:lang w:eastAsia="zh-CN"/>
        </w:rPr>
        <w:t xml:space="preserve">        联系电话：0477-3855</w:t>
      </w:r>
      <w:r>
        <w:rPr>
          <w:rFonts w:hint="eastAsia" w:ascii="仿宋" w:hAnsi="仿宋" w:eastAsia="仿宋"/>
          <w:color w:val="auto"/>
          <w:sz w:val="28"/>
          <w:szCs w:val="28"/>
          <w:lang w:val="en-US" w:eastAsia="zh-CN"/>
        </w:rPr>
        <w:t>615</w:t>
      </w:r>
    </w:p>
    <w:p>
      <w:pPr>
        <w:widowControl/>
        <w:rPr>
          <w:rFonts w:ascii="仿宋" w:hAnsi="仿宋" w:eastAsia="仿宋"/>
          <w:color w:val="auto"/>
        </w:rPr>
      </w:pPr>
      <w:r>
        <w:rPr>
          <w:rFonts w:ascii="仿宋" w:hAnsi="仿宋" w:eastAsia="仿宋"/>
          <w:color w:val="auto"/>
        </w:rPr>
        <w:br w:type="page"/>
      </w:r>
    </w:p>
    <w:p>
      <w:pPr>
        <w:pStyle w:val="3"/>
        <w:overflowPunct w:val="0"/>
        <w:spacing w:line="360" w:lineRule="auto"/>
        <w:rPr>
          <w:rFonts w:ascii="仿宋" w:hAnsi="仿宋" w:eastAsia="仿宋"/>
          <w:color w:val="auto"/>
        </w:rPr>
      </w:pPr>
      <w:bookmarkStart w:id="11" w:name="_Toc15691"/>
      <w:bookmarkStart w:id="12" w:name="_Toc482106461"/>
      <w:bookmarkStart w:id="13" w:name="_Toc15336"/>
      <w:r>
        <w:rPr>
          <w:rFonts w:hint="eastAsia" w:ascii="仿宋" w:hAnsi="仿宋" w:eastAsia="仿宋"/>
          <w:color w:val="auto"/>
        </w:rPr>
        <w:t>第三章 投标人须知</w:t>
      </w:r>
      <w:bookmarkEnd w:id="11"/>
      <w:bookmarkEnd w:id="12"/>
      <w:bookmarkEnd w:id="13"/>
    </w:p>
    <w:p>
      <w:pPr>
        <w:pStyle w:val="4"/>
        <w:overflowPunct w:val="0"/>
        <w:spacing w:line="360" w:lineRule="auto"/>
        <w:rPr>
          <w:rFonts w:ascii="仿宋" w:hAnsi="仿宋" w:eastAsia="仿宋"/>
          <w:color w:val="auto"/>
          <w:sz w:val="28"/>
          <w:szCs w:val="28"/>
        </w:rPr>
      </w:pPr>
      <w:r>
        <w:rPr>
          <w:rFonts w:hint="eastAsia" w:ascii="仿宋" w:hAnsi="仿宋" w:eastAsia="仿宋"/>
          <w:color w:val="auto"/>
          <w:sz w:val="28"/>
          <w:szCs w:val="28"/>
        </w:rPr>
        <w:t xml:space="preserve">    </w:t>
      </w:r>
      <w:bookmarkStart w:id="14" w:name="_Toc482106462"/>
      <w:bookmarkStart w:id="15" w:name="_Toc10113"/>
      <w:r>
        <w:rPr>
          <w:rFonts w:hint="eastAsia" w:ascii="仿宋" w:hAnsi="仿宋" w:eastAsia="仿宋"/>
          <w:color w:val="auto"/>
          <w:sz w:val="28"/>
          <w:szCs w:val="28"/>
        </w:rPr>
        <w:t>一、供应商资格要求</w:t>
      </w:r>
      <w:bookmarkEnd w:id="14"/>
      <w:bookmarkEnd w:id="15"/>
    </w:p>
    <w:p>
      <w:pPr>
        <w:overflowPunct w:val="0"/>
        <w:spacing w:line="360" w:lineRule="auto"/>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供应商应符合《中华人民共和国政府采购法》第二十二条规定的条件。</w:t>
      </w:r>
    </w:p>
    <w:p>
      <w:pPr>
        <w:overflowPunct w:val="0"/>
        <w:spacing w:line="360" w:lineRule="auto"/>
        <w:ind w:firstLine="560" w:firstLineChars="200"/>
        <w:rPr>
          <w:rFonts w:hint="default" w:ascii="仿宋" w:hAnsi="仿宋" w:eastAsia="仿宋" w:cs="Calibri"/>
          <w:b w:val="0"/>
          <w:color w:val="auto"/>
          <w:kern w:val="2"/>
          <w:sz w:val="28"/>
          <w:szCs w:val="28"/>
          <w:lang w:val="en-US" w:eastAsia="zh-CN" w:bidi="ar-SA"/>
        </w:rPr>
      </w:pPr>
      <w:r>
        <w:rPr>
          <w:rFonts w:hint="eastAsia" w:ascii="仿宋" w:hAnsi="仿宋" w:eastAsia="仿宋"/>
          <w:color w:val="auto"/>
          <w:sz w:val="28"/>
          <w:szCs w:val="28"/>
          <w:lang w:val="en-US" w:eastAsia="zh-CN"/>
        </w:rPr>
        <w:t>2.应有酒店用品销售等经营许可或酒店用品相关厂家授权销售等证件。</w:t>
      </w:r>
    </w:p>
    <w:p>
      <w:pPr>
        <w:overflowPunct w:val="0"/>
        <w:spacing w:line="360" w:lineRule="auto"/>
        <w:ind w:firstLine="560" w:firstLineChars="200"/>
        <w:rPr>
          <w:rFonts w:ascii="仿宋" w:hAnsi="仿宋" w:eastAsia="仿宋"/>
          <w:color w:val="auto"/>
          <w:sz w:val="28"/>
          <w:szCs w:val="28"/>
        </w:rPr>
      </w:pPr>
      <w:bookmarkStart w:id="16" w:name="_Toc482106463"/>
      <w:bookmarkStart w:id="17" w:name="_Toc2591"/>
      <w:r>
        <w:rPr>
          <w:rFonts w:hint="eastAsia" w:ascii="仿宋" w:hAnsi="仿宋" w:eastAsia="仿宋"/>
          <w:color w:val="auto"/>
          <w:sz w:val="28"/>
          <w:szCs w:val="28"/>
        </w:rPr>
        <w:t>二、响应文件的构成</w:t>
      </w:r>
      <w:bookmarkEnd w:id="16"/>
      <w:bookmarkEnd w:id="17"/>
    </w:p>
    <w:p>
      <w:pPr>
        <w:pStyle w:val="7"/>
        <w:overflowPunct w:val="0"/>
        <w:adjustRightInd w:val="0"/>
        <w:snapToGrid w:val="0"/>
        <w:spacing w:line="360" w:lineRule="auto"/>
        <w:ind w:firstLine="560" w:firstLineChars="200"/>
        <w:rPr>
          <w:rFonts w:ascii="仿宋" w:hAnsi="仿宋" w:eastAsia="仿宋"/>
          <w:bCs/>
          <w:color w:val="auto"/>
          <w:sz w:val="28"/>
          <w:szCs w:val="28"/>
        </w:rPr>
      </w:pPr>
      <w:r>
        <w:rPr>
          <w:rFonts w:hint="eastAsia" w:ascii="仿宋" w:hAnsi="仿宋" w:eastAsia="仿宋"/>
          <w:bCs/>
          <w:color w:val="auto"/>
          <w:sz w:val="28"/>
          <w:szCs w:val="28"/>
        </w:rPr>
        <w:t>供应商编制的响应文件应包括但不少于下列内容：</w:t>
      </w:r>
    </w:p>
    <w:p>
      <w:pPr>
        <w:overflowPunct w:val="0"/>
        <w:spacing w:line="360" w:lineRule="auto"/>
        <w:ind w:right="57"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w:t>
      </w:r>
      <w:r>
        <w:rPr>
          <w:rFonts w:hint="eastAsia" w:ascii="仿宋" w:hAnsi="仿宋" w:eastAsia="仿宋"/>
          <w:color w:val="auto"/>
          <w:sz w:val="28"/>
          <w:szCs w:val="28"/>
          <w:lang w:val="en-US" w:eastAsia="zh-CN"/>
        </w:rPr>
        <w:t>.</w:t>
      </w:r>
      <w:r>
        <w:rPr>
          <w:rFonts w:hint="eastAsia" w:ascii="仿宋" w:hAnsi="仿宋" w:eastAsia="仿宋"/>
          <w:color w:val="auto"/>
          <w:sz w:val="28"/>
          <w:szCs w:val="28"/>
        </w:rPr>
        <w:t>投标承诺书</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供应商投标承诺书</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2</w:t>
      </w:r>
      <w:r>
        <w:rPr>
          <w:rFonts w:hint="eastAsia" w:ascii="仿宋" w:hAnsi="仿宋" w:eastAsia="仿宋"/>
          <w:color w:val="auto"/>
          <w:sz w:val="28"/>
          <w:szCs w:val="28"/>
          <w:lang w:val="en-US" w:eastAsia="zh-CN"/>
        </w:rPr>
        <w:t>.</w:t>
      </w:r>
      <w:r>
        <w:rPr>
          <w:rFonts w:hint="eastAsia" w:ascii="仿宋" w:hAnsi="仿宋" w:eastAsia="仿宋"/>
          <w:color w:val="auto"/>
          <w:sz w:val="28"/>
          <w:szCs w:val="28"/>
        </w:rPr>
        <w:t>委托代表投标时法人代表授权书</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3</w:t>
      </w:r>
      <w:r>
        <w:rPr>
          <w:rFonts w:hint="eastAsia" w:ascii="仿宋" w:hAnsi="仿宋" w:eastAsia="仿宋"/>
          <w:color w:val="auto"/>
          <w:sz w:val="28"/>
          <w:szCs w:val="28"/>
          <w:lang w:val="en-US" w:eastAsia="zh-CN"/>
        </w:rPr>
        <w:t>.</w:t>
      </w:r>
      <w:r>
        <w:rPr>
          <w:rFonts w:hint="eastAsia" w:ascii="仿宋" w:hAnsi="仿宋" w:eastAsia="仿宋"/>
          <w:color w:val="auto"/>
          <w:sz w:val="28"/>
          <w:szCs w:val="28"/>
        </w:rPr>
        <w:t>项目分项报价明细表</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4</w:t>
      </w:r>
      <w:r>
        <w:rPr>
          <w:rFonts w:hint="eastAsia" w:ascii="仿宋" w:hAnsi="仿宋" w:eastAsia="仿宋"/>
          <w:color w:val="auto"/>
          <w:sz w:val="28"/>
          <w:szCs w:val="28"/>
          <w:lang w:val="en-US" w:eastAsia="zh-CN"/>
        </w:rPr>
        <w:t>.</w:t>
      </w:r>
      <w:r>
        <w:rPr>
          <w:rFonts w:hint="eastAsia" w:ascii="仿宋" w:hAnsi="仿宋" w:eastAsia="仿宋"/>
          <w:color w:val="auto"/>
          <w:sz w:val="28"/>
          <w:szCs w:val="28"/>
        </w:rPr>
        <w:t>项目服务方案、承诺和质量保证措施</w:t>
      </w:r>
    </w:p>
    <w:p>
      <w:pPr>
        <w:overflowPunct w:val="0"/>
        <w:spacing w:line="360" w:lineRule="auto"/>
        <w:ind w:right="57"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5</w:t>
      </w:r>
      <w:r>
        <w:rPr>
          <w:rFonts w:hint="eastAsia" w:ascii="仿宋" w:hAnsi="仿宋" w:eastAsia="仿宋"/>
          <w:color w:val="auto"/>
          <w:sz w:val="28"/>
          <w:szCs w:val="28"/>
          <w:lang w:val="en-US" w:eastAsia="zh-CN"/>
        </w:rPr>
        <w:t>.</w:t>
      </w:r>
      <w:r>
        <w:rPr>
          <w:rFonts w:hint="eastAsia" w:ascii="仿宋" w:hAnsi="仿宋" w:eastAsia="仿宋"/>
          <w:color w:val="auto"/>
          <w:sz w:val="28"/>
          <w:szCs w:val="28"/>
        </w:rPr>
        <w:t>投标人情况介绍，包括办公场所、机构设置、技术力量、服务能力、质量管理等</w:t>
      </w:r>
      <w:r>
        <w:rPr>
          <w:rFonts w:hint="eastAsia" w:ascii="仿宋" w:hAnsi="仿宋" w:eastAsia="仿宋"/>
          <w:color w:val="auto"/>
          <w:sz w:val="28"/>
          <w:szCs w:val="28"/>
          <w:lang w:eastAsia="zh-CN"/>
        </w:rPr>
        <w:t>。</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6、供应商应提供的各类证明材料</w:t>
      </w:r>
      <w:r>
        <w:rPr>
          <w:rFonts w:hint="eastAsia" w:ascii="宋体" w:hAnsi="宋体"/>
          <w:color w:val="auto"/>
          <w:sz w:val="28"/>
          <w:szCs w:val="28"/>
        </w:rPr>
        <w:t>；</w:t>
      </w:r>
    </w:p>
    <w:p>
      <w:pPr>
        <w:overflowPunct w:val="0"/>
        <w:spacing w:line="360" w:lineRule="auto"/>
        <w:ind w:firstLine="560" w:firstLineChars="200"/>
        <w:rPr>
          <w:rFonts w:ascii="仿宋" w:hAnsi="仿宋" w:eastAsia="仿宋"/>
          <w:color w:val="auto"/>
          <w:sz w:val="28"/>
          <w:szCs w:val="28"/>
        </w:rPr>
      </w:pPr>
      <w:r>
        <w:rPr>
          <w:rFonts w:hint="eastAsia" w:ascii="仿宋" w:hAnsi="仿宋" w:eastAsia="仿宋"/>
          <w:color w:val="auto"/>
          <w:sz w:val="28"/>
          <w:szCs w:val="28"/>
        </w:rPr>
        <w:t>（1）投标人营业执照副本（三证合一）、开户许可证、行业主管部门或相关部门颁发的（获奖）证书等</w:t>
      </w:r>
    </w:p>
    <w:p>
      <w:pPr>
        <w:overflowPunct w:val="0"/>
        <w:spacing w:line="360" w:lineRule="auto"/>
        <w:ind w:firstLine="560" w:firstLineChars="200"/>
        <w:rPr>
          <w:rFonts w:ascii="仿宋" w:hAnsi="仿宋" w:eastAsia="仿宋"/>
          <w:color w:val="auto"/>
          <w:sz w:val="28"/>
          <w:szCs w:val="28"/>
        </w:rPr>
      </w:pPr>
      <w:r>
        <w:rPr>
          <w:rFonts w:hint="eastAsia" w:ascii="仿宋" w:hAnsi="仿宋" w:eastAsia="仿宋"/>
          <w:color w:val="auto"/>
          <w:sz w:val="28"/>
          <w:szCs w:val="28"/>
        </w:rPr>
        <w:t>（2）近三年以来有效的项目公司业绩、说明，中标通知书或相关合同复印件（须加盖公章）</w:t>
      </w:r>
    </w:p>
    <w:p>
      <w:pPr>
        <w:overflowPunct w:val="0"/>
        <w:spacing w:line="360" w:lineRule="auto"/>
        <w:ind w:firstLine="560" w:firstLineChars="200"/>
        <w:rPr>
          <w:rFonts w:hint="eastAsia" w:ascii="仿宋" w:hAnsi="仿宋" w:eastAsia="仿宋"/>
          <w:color w:val="auto"/>
          <w:sz w:val="28"/>
          <w:szCs w:val="28"/>
        </w:rPr>
      </w:pPr>
      <w:r>
        <w:rPr>
          <w:rFonts w:hint="eastAsia" w:ascii="仿宋" w:hAnsi="仿宋" w:eastAsia="仿宋"/>
          <w:color w:val="auto"/>
          <w:sz w:val="28"/>
          <w:szCs w:val="28"/>
        </w:rPr>
        <w:t>（3）其他有利于投标的投标人的证明文件</w:t>
      </w:r>
    </w:p>
    <w:p>
      <w:pPr>
        <w:ind w:firstLine="561" w:firstLineChars="200"/>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7.供货商需携带投标物品样品进行投标。</w:t>
      </w:r>
    </w:p>
    <w:p>
      <w:pPr>
        <w:overflowPunct w:val="0"/>
        <w:spacing w:line="360" w:lineRule="auto"/>
        <w:ind w:right="114" w:firstLine="560" w:firstLineChars="200"/>
        <w:rPr>
          <w:rFonts w:ascii="仿宋" w:hAnsi="仿宋" w:eastAsia="仿宋"/>
          <w:color w:val="auto"/>
          <w:sz w:val="28"/>
          <w:szCs w:val="28"/>
        </w:rPr>
      </w:pPr>
      <w:r>
        <w:rPr>
          <w:rFonts w:hint="eastAsia" w:ascii="仿宋" w:hAnsi="仿宋" w:eastAsia="仿宋"/>
          <w:color w:val="auto"/>
          <w:kern w:val="0"/>
          <w:sz w:val="28"/>
          <w:szCs w:val="28"/>
        </w:rPr>
        <w:t>以上响应文件需递交正本1份，副本</w:t>
      </w:r>
      <w:r>
        <w:rPr>
          <w:rFonts w:hint="eastAsia" w:ascii="仿宋" w:hAnsi="仿宋" w:eastAsia="仿宋"/>
          <w:color w:val="auto"/>
          <w:kern w:val="0"/>
          <w:sz w:val="28"/>
          <w:szCs w:val="28"/>
          <w:lang w:val="en-US" w:eastAsia="zh-CN"/>
        </w:rPr>
        <w:t>5</w:t>
      </w:r>
      <w:r>
        <w:rPr>
          <w:rFonts w:hint="eastAsia" w:ascii="仿宋" w:hAnsi="仿宋" w:eastAsia="仿宋"/>
          <w:color w:val="auto"/>
          <w:kern w:val="0"/>
          <w:sz w:val="28"/>
          <w:szCs w:val="28"/>
        </w:rPr>
        <w:t>份，</w:t>
      </w:r>
      <w:r>
        <w:rPr>
          <w:rFonts w:hint="eastAsia" w:ascii="仿宋" w:hAnsi="仿宋" w:eastAsia="仿宋"/>
          <w:color w:val="auto"/>
          <w:kern w:val="0"/>
          <w:sz w:val="28"/>
          <w:szCs w:val="28"/>
          <w:lang w:val="en-US" w:eastAsia="zh-CN"/>
        </w:rPr>
        <w:t>共6份，</w:t>
      </w:r>
      <w:r>
        <w:rPr>
          <w:rFonts w:hint="eastAsia" w:ascii="仿宋" w:hAnsi="仿宋" w:eastAsia="仿宋"/>
          <w:color w:val="auto"/>
          <w:kern w:val="0"/>
          <w:sz w:val="28"/>
          <w:szCs w:val="28"/>
        </w:rPr>
        <w:t>PDF格式电子文档1份</w:t>
      </w:r>
      <w:r>
        <w:rPr>
          <w:rFonts w:hint="eastAsia" w:ascii="仿宋" w:hAnsi="仿宋" w:eastAsia="仿宋"/>
          <w:b/>
          <w:color w:val="auto"/>
          <w:sz w:val="28"/>
          <w:szCs w:val="28"/>
        </w:rPr>
        <w:t>(U盘)</w:t>
      </w:r>
      <w:r>
        <w:rPr>
          <w:rFonts w:hint="eastAsia" w:ascii="仿宋" w:hAnsi="仿宋" w:eastAsia="仿宋"/>
          <w:color w:val="auto"/>
          <w:kern w:val="0"/>
          <w:sz w:val="28"/>
          <w:szCs w:val="28"/>
        </w:rPr>
        <w:t>；以上资料需签字、盖章的必须由法定代表人或经其授权的代表签字，并加盖公章,</w:t>
      </w:r>
      <w:r>
        <w:rPr>
          <w:rFonts w:hint="eastAsia" w:ascii="仿宋" w:hAnsi="仿宋" w:eastAsia="仿宋"/>
          <w:b/>
          <w:bCs/>
          <w:color w:val="auto"/>
          <w:kern w:val="0"/>
          <w:sz w:val="32"/>
          <w:szCs w:val="28"/>
        </w:rPr>
        <w:t>响应文件必须密封</w:t>
      </w:r>
      <w:r>
        <w:rPr>
          <w:rFonts w:hint="eastAsia" w:ascii="仿宋" w:hAnsi="仿宋" w:eastAsia="仿宋"/>
          <w:color w:val="auto"/>
          <w:kern w:val="0"/>
          <w:sz w:val="28"/>
          <w:szCs w:val="28"/>
        </w:rPr>
        <w:t>。</w:t>
      </w:r>
      <w:r>
        <w:rPr>
          <w:rFonts w:hint="eastAsia" w:ascii="仿宋" w:hAnsi="仿宋" w:eastAsia="仿宋"/>
          <w:color w:val="auto"/>
          <w:sz w:val="28"/>
          <w:szCs w:val="28"/>
        </w:rPr>
        <w:t>响应文件及资料无论供应商是否中标均不予退还。</w:t>
      </w:r>
    </w:p>
    <w:p>
      <w:pPr>
        <w:pStyle w:val="4"/>
        <w:overflowPunct w:val="0"/>
        <w:spacing w:line="360" w:lineRule="auto"/>
        <w:ind w:firstLine="561" w:firstLineChars="200"/>
        <w:rPr>
          <w:rFonts w:ascii="仿宋" w:hAnsi="仿宋" w:eastAsia="仿宋"/>
          <w:color w:val="auto"/>
          <w:sz w:val="28"/>
        </w:rPr>
      </w:pPr>
      <w:bookmarkStart w:id="18" w:name="_Toc482106464"/>
      <w:bookmarkStart w:id="19" w:name="_Toc27058"/>
      <w:r>
        <w:rPr>
          <w:rFonts w:hint="eastAsia" w:ascii="仿宋" w:hAnsi="仿宋" w:eastAsia="仿宋"/>
          <w:color w:val="auto"/>
          <w:sz w:val="28"/>
        </w:rPr>
        <w:t>三、评标与中标</w:t>
      </w:r>
      <w:bookmarkEnd w:id="18"/>
      <w:bookmarkEnd w:id="19"/>
    </w:p>
    <w:p>
      <w:pPr>
        <w:pStyle w:val="7"/>
        <w:spacing w:line="360" w:lineRule="auto"/>
        <w:rPr>
          <w:rFonts w:hint="eastAsia" w:ascii="仿宋" w:hAnsi="仿宋" w:eastAsia="仿宋" w:cs="Calibri"/>
          <w:color w:val="auto"/>
          <w:kern w:val="0"/>
          <w:sz w:val="28"/>
          <w:szCs w:val="28"/>
          <w:lang w:val="en-US" w:eastAsia="zh-CN" w:bidi="ar-SA"/>
        </w:rPr>
      </w:pPr>
      <w:bookmarkStart w:id="20" w:name="_Toc482106465"/>
      <w:r>
        <w:rPr>
          <w:rFonts w:hint="eastAsia" w:ascii="仿宋" w:hAnsi="仿宋" w:eastAsia="仿宋"/>
          <w:color w:val="auto"/>
          <w:sz w:val="28"/>
          <w:szCs w:val="28"/>
        </w:rPr>
        <w:t xml:space="preserve">    </w:t>
      </w:r>
      <w:r>
        <w:rPr>
          <w:rFonts w:hint="eastAsia" w:ascii="仿宋" w:hAnsi="仿宋" w:eastAsia="仿宋" w:cs="Calibri"/>
          <w:color w:val="auto"/>
          <w:kern w:val="0"/>
          <w:sz w:val="28"/>
          <w:szCs w:val="28"/>
          <w:lang w:val="en-US" w:eastAsia="zh-CN" w:bidi="ar-SA"/>
        </w:rPr>
        <w:t>（一）成立谈判小组</w:t>
      </w:r>
    </w:p>
    <w:p>
      <w:pPr>
        <w:pStyle w:val="7"/>
        <w:spacing w:line="360" w:lineRule="auto"/>
        <w:ind w:firstLine="560" w:firstLineChars="2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鄂尔多斯市空港实业有限公司采购管理部门组织成立竞争性磋商小组，小组将按照以下基本程序组织谈判：</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1、供应商签到；</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2、供应商资格及响应文件初审；</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3、与供应商针对报价及相关服务等内容依次进行项目谈判；</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4、根据招标方需求、投标方标书内容、</w:t>
      </w:r>
      <w:r>
        <w:rPr>
          <w:rFonts w:hint="eastAsia" w:ascii="仿宋" w:hAnsi="仿宋" w:eastAsia="仿宋" w:cs="Calibri"/>
          <w:b/>
          <w:bCs/>
          <w:color w:val="auto"/>
          <w:kern w:val="0"/>
          <w:sz w:val="28"/>
          <w:szCs w:val="28"/>
          <w:lang w:val="en-US" w:eastAsia="zh-CN" w:bidi="ar-SA"/>
        </w:rPr>
        <w:t>携带样品评分</w:t>
      </w:r>
      <w:r>
        <w:rPr>
          <w:rFonts w:hint="eastAsia" w:ascii="仿宋" w:hAnsi="仿宋" w:eastAsia="仿宋" w:cs="Calibri"/>
          <w:color w:val="auto"/>
          <w:kern w:val="0"/>
          <w:sz w:val="28"/>
          <w:szCs w:val="28"/>
          <w:lang w:val="en-US" w:eastAsia="zh-CN" w:bidi="ar-SA"/>
        </w:rPr>
        <w:t>；</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5、根据评委评分情况确定中标候选人。</w:t>
      </w:r>
    </w:p>
    <w:p>
      <w:pPr>
        <w:pStyle w:val="7"/>
        <w:spacing w:line="360" w:lineRule="auto"/>
        <w:ind w:firstLine="560" w:firstLineChars="2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（二）谈判与评标</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（1）评标现场公布投标人名称，监督人员检查投标文件的密封情况。投标文件密封情况经检查确认无误后，监督人员当众拆封。</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 xml:space="preserve">（2）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文件。 </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（3）评标</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磋商小组对响应文件响应情况、企业业绩、服务质量、报价比例、执行能力、</w:t>
      </w:r>
      <w:r>
        <w:rPr>
          <w:rFonts w:hint="eastAsia" w:ascii="仿宋" w:hAnsi="仿宋" w:eastAsia="仿宋" w:cs="Calibri"/>
          <w:b/>
          <w:bCs/>
          <w:color w:val="auto"/>
          <w:kern w:val="0"/>
          <w:sz w:val="28"/>
          <w:szCs w:val="28"/>
          <w:lang w:val="en-US" w:eastAsia="zh-CN" w:bidi="ar-SA"/>
        </w:rPr>
        <w:t>现场所带样品质量</w:t>
      </w:r>
      <w:r>
        <w:rPr>
          <w:rFonts w:hint="eastAsia" w:ascii="仿宋" w:hAnsi="仿宋" w:eastAsia="仿宋" w:cs="Calibri"/>
          <w:color w:val="auto"/>
          <w:kern w:val="0"/>
          <w:sz w:val="28"/>
          <w:szCs w:val="28"/>
          <w:lang w:val="en-US" w:eastAsia="zh-CN" w:bidi="ar-SA"/>
        </w:rPr>
        <w:t>等方面进行全面比较与评价，了解和掌握各实质性响应供应商的响应程度，进行项目磋商准备。供应商通过抽签的方法确定参加磋商供应商的磋商顺序，所有磋商小组成员集体与每位供应商分别进行单独磋商，磋商轮次由小组成员视情况而定。</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 xml:space="preserve">（4）评标原则（综合评分法）   </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1.价格权重50%  最低投标报价为基准价，投标报价得分=（基础价÷投标报价）×50%×100。</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2.商务及技术权重50%</w:t>
      </w:r>
    </w:p>
    <w:tbl>
      <w:tblPr>
        <w:tblStyle w:val="14"/>
        <w:tblW w:w="10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6"/>
        <w:gridCol w:w="9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95" w:type="dxa"/>
            <w:gridSpan w:val="2"/>
            <w:noWrap w:val="0"/>
            <w:vAlign w:val="center"/>
          </w:tcPr>
          <w:p>
            <w:pPr>
              <w:spacing w:line="500" w:lineRule="exact"/>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商务及技术评分标建议评标办法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0695" w:type="dxa"/>
            <w:gridSpan w:val="2"/>
            <w:noWrap w:val="0"/>
            <w:vAlign w:val="center"/>
          </w:tcPr>
          <w:p>
            <w:pP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项目名称：</w:t>
            </w:r>
            <w:r>
              <w:rPr>
                <w:rFonts w:hint="eastAsia" w:ascii="仿宋" w:hAnsi="仿宋" w:eastAsia="仿宋" w:cs="Times New Roman"/>
                <w:color w:val="auto"/>
                <w:kern w:val="2"/>
                <w:sz w:val="28"/>
                <w:szCs w:val="28"/>
                <w:lang w:val="en-US" w:eastAsia="zh-CN" w:bidi="ar-SA"/>
              </w:rPr>
              <w:t>酒店消耗品采购项目</w:t>
            </w:r>
          </w:p>
          <w:p>
            <w:pP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项目编号：CG/SYGS-23-005-N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646" w:type="dxa"/>
            <w:noWrap w:val="0"/>
            <w:vAlign w:val="center"/>
          </w:tcPr>
          <w:p>
            <w:pPr>
              <w:spacing w:line="240" w:lineRule="exact"/>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评审因素</w:t>
            </w:r>
          </w:p>
        </w:tc>
        <w:tc>
          <w:tcPr>
            <w:tcW w:w="9049" w:type="dxa"/>
            <w:noWrap w:val="0"/>
            <w:vAlign w:val="center"/>
          </w:tcPr>
          <w:p>
            <w:pPr>
              <w:spacing w:line="240" w:lineRule="exact"/>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9" w:hRule="atLeast"/>
          <w:jc w:val="center"/>
        </w:trPr>
        <w:tc>
          <w:tcPr>
            <w:tcW w:w="1646" w:type="dxa"/>
            <w:noWrap w:val="0"/>
            <w:vAlign w:val="center"/>
          </w:tcPr>
          <w:p>
            <w:pPr>
              <w:pStyle w:val="7"/>
              <w:spacing w:line="36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投标人响应文件质量</w:t>
            </w:r>
          </w:p>
          <w:p>
            <w:pPr>
              <w:pStyle w:val="7"/>
              <w:spacing w:line="36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（4分）</w:t>
            </w:r>
          </w:p>
        </w:tc>
        <w:tc>
          <w:tcPr>
            <w:tcW w:w="9049" w:type="dxa"/>
            <w:noWrap w:val="0"/>
            <w:vAlign w:val="center"/>
          </w:tcPr>
          <w:p>
            <w:pPr>
              <w:numPr>
                <w:ilvl w:val="0"/>
                <w:numId w:val="0"/>
              </w:numPr>
              <w:spacing w:line="240" w:lineRule="auto"/>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根据投标人响应文件制定质量情况，投标日期、文字排版、印刷、提供数量等情况，以及要求报价一览表、投标承诺等文件符合情况</w:t>
            </w:r>
          </w:p>
          <w:p>
            <w:pPr>
              <w:numPr>
                <w:ilvl w:val="0"/>
                <w:numId w:val="0"/>
              </w:numPr>
              <w:spacing w:line="240" w:lineRule="auto"/>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优：4           良：3        差：2分以下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1646" w:type="dxa"/>
            <w:noWrap w:val="0"/>
            <w:vAlign w:val="center"/>
          </w:tcPr>
          <w:p>
            <w:pPr>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投标人业绩情况（6分）</w:t>
            </w:r>
          </w:p>
        </w:tc>
        <w:tc>
          <w:tcPr>
            <w:tcW w:w="9049" w:type="dxa"/>
            <w:noWrap w:val="0"/>
            <w:vAlign w:val="center"/>
          </w:tcPr>
          <w:p>
            <w:pPr>
              <w:numPr>
                <w:ilvl w:val="0"/>
                <w:numId w:val="0"/>
              </w:numPr>
              <w:spacing w:line="240" w:lineRule="auto"/>
              <w:rPr>
                <w:rFonts w:hint="default"/>
                <w:lang w:val="en-US" w:eastAsia="zh-CN"/>
              </w:rPr>
            </w:pPr>
            <w:r>
              <w:rPr>
                <w:rFonts w:hint="eastAsia" w:ascii="仿宋" w:hAnsi="仿宋" w:eastAsia="仿宋" w:cs="Calibri"/>
                <w:color w:val="auto"/>
                <w:kern w:val="0"/>
                <w:sz w:val="28"/>
                <w:szCs w:val="28"/>
                <w:lang w:val="en-US" w:eastAsia="zh-CN" w:bidi="ar-SA"/>
              </w:rPr>
              <w:t>提供近5年之内签订的相关业绩合同，合同金额≥90万，得6分，每有一项得2分；60万元＜合同金额＜90万元，每有一项得1分。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6" w:type="dxa"/>
            <w:noWrap w:val="0"/>
            <w:vAlign w:val="center"/>
          </w:tcPr>
          <w:p>
            <w:pPr>
              <w:pStyle w:val="7"/>
              <w:spacing w:line="36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服务整体服务方案及管理方案</w:t>
            </w:r>
          </w:p>
          <w:p>
            <w:pPr>
              <w:pStyle w:val="7"/>
              <w:spacing w:line="36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（15分）</w:t>
            </w:r>
          </w:p>
        </w:tc>
        <w:tc>
          <w:tcPr>
            <w:tcW w:w="9049" w:type="dxa"/>
            <w:noWrap w:val="0"/>
            <w:vAlign w:val="center"/>
          </w:tcPr>
          <w:p>
            <w:pPr>
              <w:spacing w:line="240" w:lineRule="auto"/>
              <w:jc w:val="left"/>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根据本项目，对提供物品质量保障、供货周期、运输能力有详细的服务方案，考虑全面，确保提供的产品符合要求。</w:t>
            </w:r>
          </w:p>
          <w:p>
            <w:pPr>
              <w:pStyle w:val="6"/>
              <w:jc w:val="left"/>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1.有详细的服务保障方案，满足需求，方案可实施，方案优越，得8-10分；</w:t>
            </w:r>
          </w:p>
          <w:p>
            <w:pPr>
              <w:pStyle w:val="6"/>
              <w:jc w:val="left"/>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2.有服务保障方案，满足需求，能够实施，方案良好，得5-7分</w:t>
            </w:r>
          </w:p>
          <w:p>
            <w:pPr>
              <w:pStyle w:val="6"/>
              <w:jc w:val="left"/>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3.有服务保障方案，能基本满足需求，能够实施，方案一般，4分以下</w:t>
            </w:r>
          </w:p>
          <w:p>
            <w:pPr>
              <w:spacing w:line="240" w:lineRule="auto"/>
              <w:jc w:val="left"/>
              <w:rPr>
                <w:rFonts w:hint="eastAsia" w:ascii="仿宋" w:hAnsi="仿宋" w:eastAsia="仿宋" w:cs="Calibri"/>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4.不能满足本项目保障或无实施方案，不得分。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646" w:type="dxa"/>
            <w:noWrap w:val="0"/>
            <w:vAlign w:val="center"/>
          </w:tcPr>
          <w:p>
            <w:pPr>
              <w:pStyle w:val="29"/>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资质</w:t>
            </w:r>
          </w:p>
          <w:p>
            <w:pPr>
              <w:pStyle w:val="29"/>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（7分）</w:t>
            </w:r>
          </w:p>
        </w:tc>
        <w:tc>
          <w:tcPr>
            <w:tcW w:w="9049" w:type="dxa"/>
            <w:noWrap w:val="0"/>
            <w:vAlign w:val="center"/>
          </w:tcPr>
          <w:p>
            <w:pPr>
              <w:pStyle w:val="29"/>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可提供公司相关资质及提供物品（六小件）相关检测证明，确保质量保障。</w:t>
            </w:r>
          </w:p>
          <w:p>
            <w:pPr>
              <w:pStyle w:val="29"/>
              <w:numPr>
                <w:ilvl w:val="0"/>
                <w:numId w:val="2"/>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能全面提供物品的检测报告及公司获得物品厂家授权等，得6-7分；</w:t>
            </w:r>
          </w:p>
          <w:p>
            <w:pPr>
              <w:pStyle w:val="29"/>
              <w:numPr>
                <w:ilvl w:val="0"/>
                <w:numId w:val="2"/>
              </w:numP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能提供部分物品的检测报告及公司获得物品厂家授权等，得4-5分；</w:t>
            </w:r>
          </w:p>
          <w:p>
            <w:pPr>
              <w:pStyle w:val="29"/>
              <w:numPr>
                <w:ilvl w:val="0"/>
                <w:numId w:val="2"/>
              </w:numP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能提供少部分物品检测报告及公司获得物品厂家授权等，得2-3分；</w:t>
            </w:r>
          </w:p>
          <w:p>
            <w:pPr>
              <w:pStyle w:val="29"/>
              <w:numPr>
                <w:ilvl w:val="0"/>
                <w:numId w:val="2"/>
              </w:numP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不能提供检测报告或提供检测报告不符合需求，不得分。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2" w:hRule="atLeast"/>
          <w:jc w:val="center"/>
        </w:trPr>
        <w:tc>
          <w:tcPr>
            <w:tcW w:w="1646" w:type="dxa"/>
            <w:noWrap w:val="0"/>
            <w:vAlign w:val="center"/>
          </w:tcPr>
          <w:p>
            <w:pPr>
              <w:pStyle w:val="29"/>
              <w:spacing w:line="240" w:lineRule="auto"/>
              <w:jc w:val="cente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产品质量</w:t>
            </w:r>
          </w:p>
          <w:p>
            <w:pPr>
              <w:pStyle w:val="29"/>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（现场所带样品）</w:t>
            </w:r>
          </w:p>
          <w:p>
            <w:pPr>
              <w:pStyle w:val="29"/>
              <w:spacing w:line="240" w:lineRule="auto"/>
              <w:jc w:val="cente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（15分）</w:t>
            </w:r>
          </w:p>
        </w:tc>
        <w:tc>
          <w:tcPr>
            <w:tcW w:w="9049" w:type="dxa"/>
            <w:noWrap w:val="0"/>
            <w:vAlign w:val="center"/>
          </w:tcPr>
          <w:p>
            <w:pPr>
              <w:pStyle w:val="29"/>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根据投标人现场所带样品，现场根据所提供物品质量进行检测及对比，是否满足本项目招标。</w:t>
            </w:r>
          </w:p>
          <w:p>
            <w:pPr>
              <w:pStyle w:val="29"/>
              <w:numPr>
                <w:ilvl w:val="0"/>
                <w:numId w:val="3"/>
              </w:numP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所提供产品高于需求，得15分；</w:t>
            </w:r>
          </w:p>
          <w:p>
            <w:pPr>
              <w:pStyle w:val="29"/>
              <w:numPr>
                <w:ilvl w:val="0"/>
                <w:numId w:val="3"/>
              </w:numP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所提供物品质量可满足需求，得10-14分；</w:t>
            </w:r>
          </w:p>
          <w:p>
            <w:pPr>
              <w:pStyle w:val="29"/>
              <w:numPr>
                <w:ilvl w:val="0"/>
                <w:numId w:val="3"/>
              </w:numP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所提供物品质量能一般满足需求，得5-9分；</w:t>
            </w:r>
          </w:p>
          <w:p>
            <w:pPr>
              <w:pStyle w:val="29"/>
              <w:numPr>
                <w:ilvl w:val="0"/>
                <w:numId w:val="3"/>
              </w:numP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不能满足需求，不得分。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646" w:type="dxa"/>
            <w:noWrap w:val="0"/>
            <w:vAlign w:val="center"/>
          </w:tcPr>
          <w:p>
            <w:pPr>
              <w:pStyle w:val="29"/>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证书</w:t>
            </w:r>
          </w:p>
          <w:p>
            <w:pPr>
              <w:pStyle w:val="29"/>
              <w:spacing w:line="240" w:lineRule="auto"/>
              <w:jc w:val="cente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（3分）</w:t>
            </w:r>
          </w:p>
        </w:tc>
        <w:tc>
          <w:tcPr>
            <w:tcW w:w="9049" w:type="dxa"/>
            <w:noWrap w:val="0"/>
            <w:vAlign w:val="center"/>
          </w:tcPr>
          <w:p>
            <w:pPr>
              <w:pStyle w:val="29"/>
              <w:numPr>
                <w:ilvl w:val="0"/>
                <w:numId w:val="0"/>
              </w:numP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获得国家认可认证机构颁发的资质证书。提供有效期内质量管理体系证书、环境管理体系证书、职业健康安全管理体系证书得3分，未提供或缺少则不得分。</w:t>
            </w:r>
          </w:p>
        </w:tc>
      </w:tr>
    </w:tbl>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（5）确定成交供应商</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若各供应商最终报价均超过了项目采购预算，采购人不能支付的，活动终止；在推荐确定成交候选供应商之前，如果磋商小组超过三分之二的成员认为，排在前面的成交候选供应商的最终报价或者某些分项报价明显不合理或者低于成本，有可能影响商品质量和不能诚信履约，可要求其予以说明理由。否则，磋商小组可以取消该供应商的成交候选资格，按顺序由排在其次的成交候选供应商递补。</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在磋商结束后，按照磋商小组成员推荐的成交候选人顺序确定排序第一的供应商为成交供应商。如成交供应商拒绝与采购人签订合同，或签订合同后无法履约的，磋商小组可以取消该供应商的中标资格，由排在第二的成交候选供应商递补。</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项目中标结果将于2-4个工作日后在鄂尔多斯国际机场微信公众平台上进行公布，供应商可自行查询，不再另行通知。</w:t>
      </w:r>
    </w:p>
    <w:p>
      <w:pPr>
        <w:pStyle w:val="7"/>
        <w:spacing w:line="360" w:lineRule="auto"/>
        <w:ind w:firstLine="840" w:firstLineChars="300"/>
        <w:rPr>
          <w:rFonts w:hint="eastAsia" w:ascii="仿宋" w:hAnsi="仿宋" w:eastAsia="仿宋" w:cs="Calibri"/>
          <w:color w:val="auto"/>
          <w:kern w:val="0"/>
          <w:sz w:val="28"/>
          <w:szCs w:val="28"/>
          <w:lang w:val="en-US" w:eastAsia="zh-CN" w:bidi="ar-SA"/>
        </w:rPr>
        <w:sectPr>
          <w:headerReference r:id="rId3" w:type="default"/>
          <w:footerReference r:id="rId4" w:type="default"/>
          <w:pgSz w:w="11906" w:h="16838"/>
          <w:pgMar w:top="1134" w:right="1803" w:bottom="1134" w:left="1077" w:header="851" w:footer="992" w:gutter="0"/>
          <w:pgNumType w:fmt="decimal"/>
          <w:cols w:space="425" w:num="1"/>
          <w:titlePg/>
          <w:docGrid w:type="lines" w:linePitch="312" w:charSpace="0"/>
        </w:sectPr>
      </w:pPr>
    </w:p>
    <w:p>
      <w:pPr>
        <w:adjustRightInd w:val="0"/>
        <w:snapToGrid w:val="0"/>
        <w:spacing w:line="360" w:lineRule="auto"/>
        <w:jc w:val="center"/>
        <w:outlineLvl w:val="9"/>
        <w:rPr>
          <w:rFonts w:ascii="宋体" w:hAnsi="宋体" w:cs="宋体"/>
          <w:b/>
          <w:sz w:val="72"/>
          <w:szCs w:val="72"/>
          <w:lang w:bidi="ar"/>
        </w:rPr>
      </w:pPr>
    </w:p>
    <w:p>
      <w:pPr>
        <w:adjustRightInd w:val="0"/>
        <w:snapToGrid w:val="0"/>
        <w:spacing w:line="360" w:lineRule="auto"/>
        <w:jc w:val="center"/>
        <w:outlineLvl w:val="9"/>
        <w:rPr>
          <w:rFonts w:hint="eastAsia" w:ascii="宋体" w:hAnsi="宋体" w:cs="宋体"/>
          <w:b/>
          <w:sz w:val="72"/>
          <w:szCs w:val="72"/>
          <w:lang w:bidi="ar"/>
        </w:rPr>
      </w:pPr>
    </w:p>
    <w:p>
      <w:pPr>
        <w:adjustRightInd w:val="0"/>
        <w:snapToGrid w:val="0"/>
        <w:spacing w:line="360" w:lineRule="auto"/>
        <w:jc w:val="center"/>
        <w:outlineLvl w:val="0"/>
        <w:rPr>
          <w:rFonts w:hint="eastAsia" w:ascii="宋体" w:hAnsi="宋体" w:cs="宋体"/>
          <w:b/>
          <w:sz w:val="72"/>
          <w:szCs w:val="72"/>
        </w:rPr>
      </w:pPr>
      <w:bookmarkStart w:id="21" w:name="_Toc17987"/>
      <w:r>
        <w:rPr>
          <w:rFonts w:hint="eastAsia" w:ascii="宋体" w:hAnsi="宋体" w:cs="宋体"/>
          <w:b/>
          <w:sz w:val="72"/>
          <w:szCs w:val="72"/>
          <w:lang w:bidi="ar"/>
        </w:rPr>
        <w:t>采 购 合 同</w:t>
      </w:r>
      <w:bookmarkEnd w:id="21"/>
    </w:p>
    <w:p>
      <w:pPr>
        <w:adjustRightInd w:val="0"/>
        <w:snapToGrid w:val="0"/>
        <w:spacing w:line="360" w:lineRule="auto"/>
        <w:jc w:val="center"/>
        <w:rPr>
          <w:rFonts w:hint="eastAsia" w:ascii="仿宋" w:hAnsi="仿宋" w:eastAsia="仿宋" w:cs="仿宋"/>
          <w:b/>
          <w:sz w:val="28"/>
          <w:szCs w:val="28"/>
        </w:rPr>
      </w:pPr>
    </w:p>
    <w:p>
      <w:pPr>
        <w:adjustRightInd w:val="0"/>
        <w:snapToGrid w:val="0"/>
        <w:spacing w:line="360" w:lineRule="auto"/>
        <w:jc w:val="center"/>
        <w:rPr>
          <w:rFonts w:cs="Calibri"/>
          <w:sz w:val="28"/>
          <w:szCs w:val="28"/>
        </w:rPr>
      </w:pPr>
      <w:r>
        <w:rPr>
          <w:rFonts w:cs="Calibri"/>
          <w:sz w:val="28"/>
          <w:szCs w:val="28"/>
          <w:lang w:bidi="ar"/>
        </w:rPr>
        <w:t xml:space="preserve"> </w:t>
      </w:r>
    </w:p>
    <w:p>
      <w:pPr>
        <w:adjustRightInd w:val="0"/>
        <w:snapToGrid w:val="0"/>
        <w:spacing w:line="360" w:lineRule="auto"/>
        <w:jc w:val="center"/>
        <w:rPr>
          <w:rFonts w:ascii="宋体" w:hAnsi="宋体" w:cs="宋体"/>
          <w:sz w:val="28"/>
          <w:szCs w:val="28"/>
          <w:u w:val="single"/>
          <w:lang w:bidi="ar"/>
        </w:rPr>
      </w:pPr>
    </w:p>
    <w:p>
      <w:pPr>
        <w:adjustRightInd w:val="0"/>
        <w:snapToGrid w:val="0"/>
        <w:spacing w:line="360" w:lineRule="auto"/>
        <w:jc w:val="center"/>
        <w:rPr>
          <w:rFonts w:ascii="宋体" w:hAnsi="宋体" w:cs="宋体"/>
          <w:sz w:val="28"/>
          <w:szCs w:val="28"/>
          <w:u w:val="single"/>
        </w:rPr>
      </w:pPr>
    </w:p>
    <w:p>
      <w:pPr>
        <w:adjustRightInd w:val="0"/>
        <w:snapToGrid w:val="0"/>
        <w:spacing w:line="360" w:lineRule="auto"/>
        <w:jc w:val="center"/>
        <w:rPr>
          <w:rFonts w:ascii="宋体" w:hAnsi="宋体" w:cs="宋体"/>
          <w:sz w:val="28"/>
          <w:szCs w:val="28"/>
          <w:u w:val="single"/>
        </w:rPr>
      </w:pPr>
    </w:p>
    <w:p>
      <w:pPr>
        <w:adjustRightInd w:val="0"/>
        <w:snapToGrid w:val="0"/>
        <w:spacing w:line="360" w:lineRule="auto"/>
        <w:jc w:val="center"/>
        <w:rPr>
          <w:rFonts w:ascii="宋体" w:hAnsi="宋体" w:cs="宋体"/>
          <w:sz w:val="28"/>
          <w:szCs w:val="28"/>
          <w:u w:val="single"/>
        </w:rPr>
      </w:pPr>
    </w:p>
    <w:p>
      <w:pPr>
        <w:adjustRightInd w:val="0"/>
        <w:snapToGrid w:val="0"/>
        <w:spacing w:line="360" w:lineRule="auto"/>
        <w:jc w:val="center"/>
        <w:rPr>
          <w:rFonts w:ascii="宋体" w:hAnsi="宋体" w:cs="宋体"/>
          <w:sz w:val="28"/>
          <w:szCs w:val="28"/>
          <w:u w:val="single"/>
        </w:rPr>
      </w:pPr>
    </w:p>
    <w:p>
      <w:pPr>
        <w:adjustRightInd w:val="0"/>
        <w:snapToGrid w:val="0"/>
        <w:spacing w:line="360" w:lineRule="auto"/>
        <w:jc w:val="center"/>
        <w:rPr>
          <w:rFonts w:ascii="宋体" w:hAnsi="宋体" w:cs="宋体"/>
          <w:sz w:val="28"/>
          <w:szCs w:val="28"/>
          <w:u w:val="single"/>
        </w:rPr>
      </w:pPr>
    </w:p>
    <w:p>
      <w:pPr>
        <w:adjustRightInd w:val="0"/>
        <w:snapToGrid w:val="0"/>
        <w:spacing w:line="360" w:lineRule="auto"/>
        <w:jc w:val="center"/>
        <w:rPr>
          <w:rFonts w:hint="eastAsia" w:ascii="宋体" w:hAnsi="宋体" w:cs="宋体"/>
          <w:sz w:val="28"/>
          <w:szCs w:val="28"/>
          <w:u w:val="single"/>
        </w:rPr>
      </w:pPr>
    </w:p>
    <w:p>
      <w:pPr>
        <w:adjustRightInd w:val="0"/>
        <w:snapToGrid w:val="0"/>
        <w:spacing w:line="360" w:lineRule="auto"/>
        <w:jc w:val="center"/>
        <w:rPr>
          <w:rFonts w:ascii="宋体" w:hAnsi="宋体" w:cs="宋体"/>
          <w:sz w:val="28"/>
          <w:szCs w:val="28"/>
          <w:u w:val="single"/>
        </w:rPr>
      </w:pPr>
    </w:p>
    <w:p>
      <w:pPr>
        <w:adjustRightInd w:val="0"/>
        <w:snapToGrid w:val="0"/>
        <w:spacing w:line="360" w:lineRule="auto"/>
        <w:jc w:val="center"/>
        <w:rPr>
          <w:rFonts w:ascii="宋体" w:hAnsi="宋体" w:cs="宋体"/>
          <w:sz w:val="28"/>
          <w:szCs w:val="28"/>
          <w:u w:val="single"/>
        </w:rPr>
      </w:pPr>
    </w:p>
    <w:p>
      <w:pPr>
        <w:adjustRightInd w:val="0"/>
        <w:snapToGrid w:val="0"/>
        <w:spacing w:line="360" w:lineRule="auto"/>
        <w:jc w:val="center"/>
        <w:rPr>
          <w:rFonts w:hint="eastAsia" w:ascii="宋体" w:hAnsi="宋体" w:cs="宋体"/>
          <w:sz w:val="28"/>
          <w:szCs w:val="28"/>
          <w:u w:val="single"/>
        </w:rPr>
      </w:pPr>
    </w:p>
    <w:p>
      <w:pPr>
        <w:adjustRightInd w:val="0"/>
        <w:snapToGrid w:val="0"/>
        <w:spacing w:line="360" w:lineRule="auto"/>
        <w:jc w:val="left"/>
        <w:rPr>
          <w:rFonts w:hint="eastAsia" w:ascii="宋体" w:hAnsi="宋体" w:cs="宋体"/>
          <w:b/>
          <w:sz w:val="32"/>
          <w:szCs w:val="32"/>
          <w:u w:val="single"/>
        </w:rPr>
      </w:pPr>
      <w:r>
        <w:rPr>
          <w:rFonts w:hint="eastAsia" w:ascii="宋体" w:hAnsi="宋体" w:cs="宋体"/>
          <w:b/>
          <w:sz w:val="32"/>
          <w:szCs w:val="32"/>
          <w:lang w:bidi="ar"/>
        </w:rPr>
        <w:t xml:space="preserve">甲方: </w:t>
      </w:r>
    </w:p>
    <w:p>
      <w:pPr>
        <w:adjustRightInd w:val="0"/>
        <w:snapToGrid w:val="0"/>
        <w:spacing w:line="360" w:lineRule="auto"/>
        <w:jc w:val="left"/>
        <w:rPr>
          <w:rFonts w:hint="eastAsia" w:ascii="宋体" w:hAnsi="宋体" w:cs="宋体"/>
          <w:b/>
          <w:sz w:val="32"/>
          <w:szCs w:val="32"/>
        </w:rPr>
      </w:pPr>
      <w:r>
        <w:rPr>
          <w:rFonts w:hint="eastAsia" w:ascii="宋体" w:hAnsi="宋体" w:cs="宋体"/>
          <w:b/>
          <w:sz w:val="32"/>
          <w:szCs w:val="32"/>
          <w:lang w:bidi="ar"/>
        </w:rPr>
        <w:t xml:space="preserve">乙方: </w:t>
      </w:r>
    </w:p>
    <w:p>
      <w:pPr>
        <w:adjustRightInd w:val="0"/>
        <w:snapToGrid w:val="0"/>
        <w:spacing w:line="360" w:lineRule="auto"/>
        <w:jc w:val="left"/>
        <w:rPr>
          <w:rFonts w:hint="eastAsia" w:ascii="宋体" w:hAnsi="宋体" w:cs="宋体"/>
          <w:b/>
          <w:sz w:val="32"/>
          <w:szCs w:val="32"/>
          <w:u w:val="single"/>
        </w:rPr>
      </w:pPr>
      <w:r>
        <w:rPr>
          <w:rFonts w:hint="eastAsia" w:ascii="宋体" w:hAnsi="宋体" w:cs="宋体"/>
          <w:b/>
          <w:sz w:val="32"/>
          <w:szCs w:val="32"/>
          <w:lang w:bidi="ar"/>
        </w:rPr>
        <w:t xml:space="preserve">签订地点: </w:t>
      </w:r>
    </w:p>
    <w:p>
      <w:pPr>
        <w:adjustRightInd w:val="0"/>
        <w:snapToGrid w:val="0"/>
        <w:spacing w:line="360" w:lineRule="auto"/>
        <w:jc w:val="left"/>
        <w:rPr>
          <w:rFonts w:hint="eastAsia" w:ascii="宋体" w:hAnsi="宋体" w:cs="宋体"/>
          <w:b/>
          <w:sz w:val="32"/>
          <w:szCs w:val="32"/>
          <w:u w:val="single"/>
        </w:rPr>
      </w:pPr>
      <w:r>
        <w:rPr>
          <w:rFonts w:hint="eastAsia" w:ascii="宋体" w:hAnsi="宋体" w:cs="宋体"/>
          <w:b/>
          <w:sz w:val="32"/>
          <w:szCs w:val="32"/>
          <w:lang w:bidi="ar"/>
        </w:rPr>
        <w:t xml:space="preserve">签订日期: </w:t>
      </w:r>
    </w:p>
    <w:p>
      <w:pPr>
        <w:pStyle w:val="7"/>
        <w:widowControl/>
        <w:adjustRightInd w:val="0"/>
        <w:snapToGrid w:val="0"/>
        <w:spacing w:line="360" w:lineRule="auto"/>
        <w:jc w:val="left"/>
        <w:rPr>
          <w:rFonts w:hAnsi="宋体" w:cs="宋体"/>
          <w:b/>
          <w:sz w:val="28"/>
          <w:szCs w:val="28"/>
        </w:rPr>
      </w:pPr>
      <w:r>
        <w:rPr>
          <w:rFonts w:hAnsi="宋体" w:cs="宋体"/>
          <w:b/>
          <w:sz w:val="28"/>
          <w:szCs w:val="28"/>
        </w:rPr>
        <w:t xml:space="preserve"> </w:t>
      </w:r>
    </w:p>
    <w:p>
      <w:pPr>
        <w:pStyle w:val="7"/>
        <w:widowControl/>
        <w:adjustRightInd w:val="0"/>
        <w:snapToGrid w:val="0"/>
        <w:spacing w:line="360" w:lineRule="auto"/>
        <w:jc w:val="center"/>
        <w:rPr>
          <w:rFonts w:hint="default" w:hAnsi="宋体" w:cs="宋体"/>
          <w:b/>
          <w:sz w:val="28"/>
          <w:szCs w:val="28"/>
        </w:rPr>
      </w:pPr>
      <w:r>
        <w:rPr>
          <w:rFonts w:hAnsi="宋体" w:cs="宋体"/>
          <w:b/>
          <w:sz w:val="28"/>
          <w:szCs w:val="28"/>
        </w:rPr>
        <w:br w:type="page"/>
      </w:r>
      <w:r>
        <w:rPr>
          <w:rFonts w:hAnsi="宋体" w:cs="宋体"/>
          <w:b/>
          <w:sz w:val="28"/>
          <w:szCs w:val="28"/>
        </w:rPr>
        <w:t>采购合同</w:t>
      </w:r>
    </w:p>
    <w:p>
      <w:pPr>
        <w:pStyle w:val="7"/>
        <w:widowControl/>
        <w:adjustRightInd w:val="0"/>
        <w:snapToGrid w:val="0"/>
        <w:spacing w:line="360" w:lineRule="auto"/>
        <w:jc w:val="left"/>
        <w:rPr>
          <w:rFonts w:hint="default" w:hAnsi="宋体" w:cs="宋体"/>
          <w:b/>
          <w:sz w:val="28"/>
          <w:szCs w:val="28"/>
        </w:rPr>
      </w:pPr>
    </w:p>
    <w:p>
      <w:pPr>
        <w:pStyle w:val="7"/>
        <w:widowControl/>
        <w:adjustRightInd w:val="0"/>
        <w:snapToGrid w:val="0"/>
        <w:spacing w:line="360" w:lineRule="auto"/>
        <w:jc w:val="left"/>
        <w:rPr>
          <w:rFonts w:hAnsi="宋体" w:cs="宋体"/>
          <w:b/>
          <w:sz w:val="24"/>
          <w:szCs w:val="24"/>
          <w:u w:val="single"/>
        </w:rPr>
      </w:pPr>
      <w:r>
        <w:rPr>
          <w:rFonts w:hAnsi="宋体" w:cs="宋体"/>
          <w:b/>
          <w:sz w:val="24"/>
          <w:szCs w:val="24"/>
        </w:rPr>
        <w:t>甲方</w:t>
      </w:r>
      <w:r>
        <w:rPr>
          <w:rFonts w:hAnsi="宋体" w:cs="宋体"/>
          <w:sz w:val="24"/>
          <w:szCs w:val="24"/>
        </w:rPr>
        <w:t>：</w:t>
      </w:r>
    </w:p>
    <w:p>
      <w:pPr>
        <w:pStyle w:val="7"/>
        <w:widowControl/>
        <w:adjustRightInd w:val="0"/>
        <w:snapToGrid w:val="0"/>
        <w:spacing w:line="360" w:lineRule="auto"/>
        <w:jc w:val="left"/>
        <w:rPr>
          <w:rFonts w:hAnsi="宋体" w:cs="宋体"/>
          <w:sz w:val="24"/>
          <w:szCs w:val="24"/>
        </w:rPr>
      </w:pPr>
      <w:r>
        <w:rPr>
          <w:rFonts w:hAnsi="宋体" w:cs="宋体"/>
          <w:sz w:val="24"/>
          <w:szCs w:val="24"/>
        </w:rPr>
        <w:t>法定代表人：</w:t>
      </w:r>
    </w:p>
    <w:p>
      <w:pPr>
        <w:pStyle w:val="7"/>
        <w:widowControl/>
        <w:adjustRightInd w:val="0"/>
        <w:snapToGrid w:val="0"/>
        <w:spacing w:line="360" w:lineRule="auto"/>
        <w:jc w:val="left"/>
        <w:rPr>
          <w:rFonts w:hAnsi="宋体" w:cs="宋体"/>
          <w:sz w:val="24"/>
          <w:szCs w:val="24"/>
        </w:rPr>
      </w:pPr>
      <w:r>
        <w:rPr>
          <w:rFonts w:hAnsi="宋体" w:cs="宋体"/>
          <w:sz w:val="24"/>
          <w:szCs w:val="24"/>
        </w:rPr>
        <w:t>住所地：</w:t>
      </w:r>
    </w:p>
    <w:p>
      <w:pPr>
        <w:pStyle w:val="7"/>
        <w:widowControl/>
        <w:adjustRightInd w:val="0"/>
        <w:snapToGrid w:val="0"/>
        <w:spacing w:line="360" w:lineRule="auto"/>
        <w:jc w:val="left"/>
        <w:rPr>
          <w:rFonts w:hAnsi="宋体" w:cs="宋体"/>
          <w:sz w:val="24"/>
          <w:szCs w:val="24"/>
        </w:rPr>
      </w:pPr>
      <w:r>
        <w:rPr>
          <w:rFonts w:hAnsi="宋体" w:cs="宋体"/>
          <w:sz w:val="24"/>
          <w:szCs w:val="24"/>
        </w:rPr>
        <w:t>统一社会信用代码：</w:t>
      </w:r>
    </w:p>
    <w:p>
      <w:pPr>
        <w:pStyle w:val="7"/>
        <w:widowControl/>
        <w:adjustRightInd w:val="0"/>
        <w:snapToGrid w:val="0"/>
        <w:spacing w:line="360" w:lineRule="auto"/>
        <w:jc w:val="left"/>
        <w:rPr>
          <w:rFonts w:hAnsi="宋体" w:cs="宋体"/>
          <w:b/>
          <w:sz w:val="24"/>
          <w:szCs w:val="24"/>
          <w:u w:val="single"/>
        </w:rPr>
      </w:pPr>
      <w:r>
        <w:rPr>
          <w:rFonts w:hAnsi="宋体" w:cs="宋体"/>
          <w:b/>
          <w:sz w:val="24"/>
          <w:szCs w:val="24"/>
        </w:rPr>
        <w:t>乙方：</w:t>
      </w:r>
    </w:p>
    <w:p>
      <w:pPr>
        <w:pStyle w:val="7"/>
        <w:widowControl/>
        <w:adjustRightInd w:val="0"/>
        <w:snapToGrid w:val="0"/>
        <w:spacing w:line="360" w:lineRule="auto"/>
        <w:jc w:val="left"/>
        <w:rPr>
          <w:rFonts w:hAnsi="宋体" w:cs="宋体"/>
          <w:sz w:val="24"/>
          <w:szCs w:val="24"/>
        </w:rPr>
      </w:pPr>
      <w:r>
        <w:rPr>
          <w:rFonts w:hAnsi="宋体" w:cs="宋体"/>
          <w:sz w:val="24"/>
          <w:szCs w:val="24"/>
        </w:rPr>
        <w:t>法定代表人：</w:t>
      </w:r>
    </w:p>
    <w:p>
      <w:pPr>
        <w:pStyle w:val="7"/>
        <w:widowControl/>
        <w:adjustRightInd w:val="0"/>
        <w:snapToGrid w:val="0"/>
        <w:spacing w:line="360" w:lineRule="auto"/>
        <w:jc w:val="left"/>
        <w:rPr>
          <w:rFonts w:hAnsi="宋体" w:cs="宋体"/>
          <w:sz w:val="24"/>
          <w:szCs w:val="24"/>
        </w:rPr>
      </w:pPr>
      <w:r>
        <w:rPr>
          <w:rFonts w:hAnsi="宋体" w:cs="宋体"/>
          <w:sz w:val="24"/>
          <w:szCs w:val="24"/>
        </w:rPr>
        <w:t>住所地：</w:t>
      </w:r>
    </w:p>
    <w:p>
      <w:pPr>
        <w:pStyle w:val="7"/>
        <w:widowControl/>
        <w:adjustRightInd w:val="0"/>
        <w:snapToGrid w:val="0"/>
        <w:spacing w:line="360" w:lineRule="auto"/>
        <w:jc w:val="left"/>
        <w:rPr>
          <w:rFonts w:hAnsi="宋体" w:cs="宋体"/>
          <w:sz w:val="24"/>
          <w:szCs w:val="24"/>
        </w:rPr>
      </w:pPr>
      <w:r>
        <w:rPr>
          <w:rFonts w:hAnsi="宋体" w:cs="宋体"/>
          <w:sz w:val="24"/>
          <w:szCs w:val="24"/>
        </w:rPr>
        <w:t>统一社会信用代码：</w:t>
      </w:r>
    </w:p>
    <w:p>
      <w:pPr>
        <w:adjustRightInd w:val="0"/>
        <w:snapToGrid w:val="0"/>
        <w:spacing w:line="360" w:lineRule="auto"/>
        <w:rPr>
          <w:rFonts w:hint="eastAsia" w:ascii="宋体" w:hAnsi="宋体" w:cs="宋体"/>
          <w:sz w:val="24"/>
        </w:rPr>
      </w:pP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依据《中华人民共和民法典》及其他有关法律、行政法规的相关规定，双方订立以下合同，共同信守。</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 xml:space="preserve"> </w:t>
      </w:r>
    </w:p>
    <w:p>
      <w:pPr>
        <w:numPr>
          <w:ilvl w:val="0"/>
          <w:numId w:val="4"/>
        </w:numPr>
        <w:adjustRightInd w:val="0"/>
        <w:snapToGrid w:val="0"/>
        <w:spacing w:line="360" w:lineRule="auto"/>
        <w:ind w:left="0" w:firstLine="0"/>
        <w:rPr>
          <w:rFonts w:hint="eastAsia" w:ascii="宋体" w:hAnsi="宋体" w:cs="宋体"/>
          <w:b/>
          <w:sz w:val="24"/>
        </w:rPr>
      </w:pPr>
      <w:r>
        <w:rPr>
          <w:rFonts w:hint="eastAsia" w:ascii="宋体" w:hAnsi="宋体" w:cs="宋体"/>
          <w:b/>
          <w:sz w:val="24"/>
          <w:lang w:bidi="ar"/>
        </w:rPr>
        <w:t>标的物</w:t>
      </w:r>
    </w:p>
    <w:p>
      <w:pPr>
        <w:pStyle w:val="23"/>
        <w:widowControl/>
        <w:adjustRightInd w:val="0"/>
        <w:snapToGrid w:val="0"/>
        <w:spacing w:line="360" w:lineRule="auto"/>
        <w:ind w:firstLine="480"/>
        <w:rPr>
          <w:rFonts w:ascii="宋体" w:hAnsi="宋体"/>
          <w:sz w:val="24"/>
          <w:szCs w:val="24"/>
          <w:u w:val="single"/>
        </w:rPr>
      </w:pPr>
      <w:r>
        <w:rPr>
          <w:rFonts w:hint="eastAsia" w:ascii="宋体" w:hAnsi="宋体"/>
          <w:sz w:val="24"/>
          <w:szCs w:val="24"/>
        </w:rPr>
        <w:t>1、商品名称：</w:t>
      </w:r>
    </w:p>
    <w:p>
      <w:pPr>
        <w:pStyle w:val="23"/>
        <w:widowControl/>
        <w:adjustRightInd w:val="0"/>
        <w:snapToGrid w:val="0"/>
        <w:spacing w:line="360" w:lineRule="auto"/>
        <w:ind w:firstLine="480"/>
        <w:rPr>
          <w:rFonts w:hint="eastAsia" w:ascii="宋体" w:hAnsi="宋体"/>
          <w:sz w:val="24"/>
          <w:szCs w:val="24"/>
          <w:u w:val="single"/>
        </w:rPr>
      </w:pPr>
      <w:r>
        <w:rPr>
          <w:rFonts w:hint="eastAsia" w:ascii="宋体" w:hAnsi="宋体"/>
          <w:sz w:val="24"/>
          <w:szCs w:val="24"/>
        </w:rPr>
        <w:t>2、品牌、规格、型号：</w:t>
      </w:r>
    </w:p>
    <w:p>
      <w:pPr>
        <w:pStyle w:val="23"/>
        <w:widowControl/>
        <w:adjustRightInd w:val="0"/>
        <w:snapToGrid w:val="0"/>
        <w:spacing w:line="360" w:lineRule="auto"/>
        <w:ind w:firstLine="480"/>
        <w:rPr>
          <w:rFonts w:hint="eastAsia" w:ascii="宋体" w:hAnsi="宋体"/>
          <w:sz w:val="24"/>
          <w:szCs w:val="24"/>
        </w:rPr>
      </w:pPr>
      <w:r>
        <w:rPr>
          <w:rFonts w:hint="eastAsia" w:ascii="宋体" w:hAnsi="宋体"/>
          <w:sz w:val="24"/>
          <w:szCs w:val="24"/>
        </w:rPr>
        <w:t>3、商品数量：</w:t>
      </w:r>
    </w:p>
    <w:p>
      <w:pPr>
        <w:numPr>
          <w:ilvl w:val="0"/>
          <w:numId w:val="4"/>
        </w:numPr>
        <w:adjustRightInd w:val="0"/>
        <w:snapToGrid w:val="0"/>
        <w:spacing w:line="360" w:lineRule="auto"/>
        <w:ind w:left="0" w:firstLine="0"/>
        <w:rPr>
          <w:rFonts w:hint="eastAsia" w:ascii="宋体" w:hAnsi="宋体" w:cs="宋体"/>
          <w:sz w:val="24"/>
        </w:rPr>
      </w:pPr>
      <w:r>
        <w:rPr>
          <w:rFonts w:hint="eastAsia" w:ascii="宋体" w:hAnsi="宋体" w:cs="宋体"/>
          <w:b/>
          <w:sz w:val="24"/>
          <w:lang w:bidi="ar"/>
        </w:rPr>
        <w:t>产品质量标准及要求</w:t>
      </w:r>
    </w:p>
    <w:p>
      <w:pPr>
        <w:adjustRightInd w:val="0"/>
        <w:snapToGrid w:val="0"/>
        <w:spacing w:line="360" w:lineRule="auto"/>
        <w:rPr>
          <w:rFonts w:hint="eastAsia" w:ascii="宋体" w:hAnsi="宋体" w:cs="宋体"/>
          <w:b/>
          <w:sz w:val="24"/>
          <w:u w:val="single"/>
        </w:rPr>
      </w:pPr>
      <w:r>
        <w:rPr>
          <w:rFonts w:hint="eastAsia" w:ascii="宋体" w:hAnsi="宋体" w:cs="宋体"/>
          <w:b/>
          <w:sz w:val="24"/>
          <w:u w:val="single"/>
          <w:lang w:bidi="ar"/>
        </w:rPr>
        <w:t>（注：对标的物所需遵循的质量标准及要求应根据业务实际明确详细列举）</w:t>
      </w:r>
    </w:p>
    <w:p>
      <w:pPr>
        <w:numPr>
          <w:ilvl w:val="0"/>
          <w:numId w:val="4"/>
        </w:numPr>
        <w:adjustRightInd w:val="0"/>
        <w:snapToGrid w:val="0"/>
        <w:spacing w:line="360" w:lineRule="auto"/>
        <w:ind w:left="0" w:firstLine="0"/>
        <w:rPr>
          <w:rFonts w:hint="eastAsia" w:ascii="宋体" w:hAnsi="宋体" w:cs="宋体"/>
          <w:b/>
          <w:sz w:val="24"/>
        </w:rPr>
      </w:pPr>
      <w:r>
        <w:rPr>
          <w:rFonts w:hint="eastAsia" w:ascii="宋体" w:hAnsi="宋体" w:cs="宋体"/>
          <w:b/>
          <w:sz w:val="24"/>
          <w:lang w:bidi="ar"/>
        </w:rPr>
        <w:t>包装</w:t>
      </w:r>
    </w:p>
    <w:p>
      <w:pPr>
        <w:adjustRightInd w:val="0"/>
        <w:snapToGrid w:val="0"/>
        <w:spacing w:line="360" w:lineRule="auto"/>
        <w:ind w:firstLine="480" w:firstLineChars="200"/>
        <w:rPr>
          <w:rFonts w:hint="eastAsia" w:ascii="宋体" w:hAnsi="宋体" w:cs="宋体"/>
          <w:sz w:val="24"/>
          <w:lang w:bidi="ar"/>
        </w:rPr>
      </w:pPr>
      <w:r>
        <w:rPr>
          <w:rFonts w:hint="eastAsia" w:ascii="宋体" w:hAnsi="宋体" w:cs="宋体"/>
          <w:sz w:val="24"/>
          <w:lang w:bidi="ar"/>
        </w:rPr>
        <w:t>1、乙方负责产品的包装。产品包装必须符合所有相关法律的要求，包括与环境、职业健康和安全有关的法律、法规标准。产品的包装物归</w:t>
      </w:r>
      <w:r>
        <w:rPr>
          <w:rFonts w:hint="eastAsia" w:ascii="宋体" w:hAnsi="宋体" w:cs="宋体"/>
          <w:sz w:val="24"/>
          <w:u w:val="single"/>
          <w:lang w:bidi="ar"/>
        </w:rPr>
        <w:t xml:space="preserve">   </w:t>
      </w:r>
      <w:r>
        <w:rPr>
          <w:rFonts w:hint="eastAsia" w:ascii="宋体" w:hAnsi="宋体" w:cs="宋体"/>
          <w:sz w:val="24"/>
          <w:lang w:bidi="ar"/>
        </w:rPr>
        <w:t>所有。</w:t>
      </w:r>
    </w:p>
    <w:p>
      <w:pPr>
        <w:adjustRightInd w:val="0"/>
        <w:snapToGrid w:val="0"/>
        <w:spacing w:line="360" w:lineRule="auto"/>
        <w:ind w:firstLine="480" w:firstLineChars="200"/>
        <w:rPr>
          <w:rFonts w:hint="eastAsia" w:ascii="宋体" w:hAnsi="宋体" w:cs="宋体"/>
          <w:sz w:val="24"/>
          <w:lang w:bidi="ar"/>
        </w:rPr>
      </w:pPr>
      <w:r>
        <w:rPr>
          <w:rFonts w:hint="eastAsia" w:ascii="宋体" w:hAnsi="宋体" w:cs="宋体"/>
          <w:sz w:val="24"/>
          <w:lang w:bidi="ar"/>
        </w:rPr>
        <w:t>2、乙方应该根据产品的特性及甲方要求对产品进行妥善包装并添加标签，包装和添加标签的方式应该符合中转运输和仓储的要求。包装物外应以醒目的中文字体标明以下各项：合同名称、甲方合同号、甲方名称、乙方名称、收货人姓名、电话、目的地、产品名称等。</w:t>
      </w:r>
      <w:r>
        <w:rPr>
          <w:rFonts w:hint="eastAsia" w:ascii="宋体" w:hAnsi="宋体" w:cs="宋体"/>
          <w:color w:val="FF0000"/>
          <w:sz w:val="24"/>
          <w:lang w:bidi="ar"/>
        </w:rPr>
        <w:t>（根据业务实际修改后适用）</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 xml:space="preserve">3、由于乙方包装不当致使产品遭到损坏或丢失的，不论在何时何地发现，乙方均应负责及时补供、修理、更换或赔偿。 </w:t>
      </w:r>
    </w:p>
    <w:p>
      <w:pPr>
        <w:numPr>
          <w:ilvl w:val="0"/>
          <w:numId w:val="4"/>
        </w:numPr>
        <w:adjustRightInd w:val="0"/>
        <w:snapToGrid w:val="0"/>
        <w:spacing w:line="360" w:lineRule="auto"/>
        <w:ind w:left="0" w:firstLine="0"/>
        <w:rPr>
          <w:rFonts w:hint="eastAsia" w:ascii="宋体" w:hAnsi="宋体" w:cs="宋体"/>
          <w:b/>
          <w:sz w:val="24"/>
        </w:rPr>
      </w:pPr>
      <w:r>
        <w:rPr>
          <w:rFonts w:hint="eastAsia" w:ascii="宋体" w:hAnsi="宋体" w:cs="宋体"/>
          <w:b/>
          <w:sz w:val="24"/>
          <w:lang w:bidi="ar"/>
        </w:rPr>
        <w:t>运输</w:t>
      </w:r>
    </w:p>
    <w:p>
      <w:pPr>
        <w:tabs>
          <w:tab w:val="left" w:pos="0"/>
        </w:tabs>
        <w:adjustRightInd w:val="0"/>
        <w:snapToGrid w:val="0"/>
        <w:spacing w:line="360" w:lineRule="auto"/>
        <w:ind w:left="456"/>
        <w:rPr>
          <w:rFonts w:hint="eastAsia" w:ascii="宋体" w:hAnsi="宋体" w:cs="宋体"/>
          <w:sz w:val="24"/>
        </w:rPr>
      </w:pPr>
      <w:r>
        <w:rPr>
          <w:rFonts w:hint="eastAsia" w:ascii="宋体" w:hAnsi="宋体" w:cs="宋体"/>
          <w:spacing w:val="-6"/>
          <w:kern w:val="15"/>
          <w:sz w:val="24"/>
          <w:lang w:bidi="ar"/>
        </w:rPr>
        <w:t>1、产品由乙方负责送到甲方指定地点，并由乙方负责运输、装卸。</w:t>
      </w:r>
    </w:p>
    <w:p>
      <w:pPr>
        <w:tabs>
          <w:tab w:val="left" w:pos="0"/>
        </w:tabs>
        <w:adjustRightInd w:val="0"/>
        <w:snapToGrid w:val="0"/>
        <w:spacing w:line="360" w:lineRule="auto"/>
        <w:ind w:left="480"/>
        <w:rPr>
          <w:rFonts w:ascii="宋体" w:hAnsi="宋体" w:cs="宋体"/>
          <w:sz w:val="24"/>
          <w:lang w:bidi="ar"/>
        </w:rPr>
      </w:pPr>
      <w:r>
        <w:rPr>
          <w:rFonts w:hint="eastAsia" w:ascii="宋体" w:hAnsi="宋体" w:cs="宋体"/>
          <w:sz w:val="24"/>
          <w:lang w:bidi="ar"/>
        </w:rPr>
        <w:t>2、运输过程中产生的运费、仓储费、出库费、装卸费等所有支出由乙方承</w:t>
      </w:r>
    </w:p>
    <w:p>
      <w:pPr>
        <w:tabs>
          <w:tab w:val="left" w:pos="0"/>
        </w:tabs>
        <w:adjustRightInd w:val="0"/>
        <w:snapToGrid w:val="0"/>
        <w:spacing w:line="360" w:lineRule="auto"/>
        <w:rPr>
          <w:rFonts w:hint="eastAsia" w:ascii="宋体" w:hAnsi="宋体" w:cs="宋体"/>
          <w:sz w:val="24"/>
        </w:rPr>
      </w:pPr>
      <w:r>
        <w:rPr>
          <w:rFonts w:hint="eastAsia" w:ascii="宋体" w:hAnsi="宋体" w:cs="宋体"/>
          <w:sz w:val="24"/>
          <w:lang w:bidi="ar"/>
        </w:rPr>
        <w:t>担</w:t>
      </w:r>
      <w:r>
        <w:rPr>
          <w:rFonts w:hint="eastAsia" w:ascii="宋体" w:hAnsi="宋体" w:cs="宋体"/>
          <w:b/>
          <w:sz w:val="24"/>
          <w:lang w:bidi="ar"/>
        </w:rPr>
        <w:t>。</w:t>
      </w:r>
    </w:p>
    <w:p>
      <w:pPr>
        <w:numPr>
          <w:ilvl w:val="0"/>
          <w:numId w:val="4"/>
        </w:numPr>
        <w:adjustRightInd w:val="0"/>
        <w:snapToGrid w:val="0"/>
        <w:spacing w:line="360" w:lineRule="auto"/>
        <w:ind w:left="0" w:firstLine="0"/>
        <w:rPr>
          <w:rFonts w:hint="eastAsia" w:ascii="宋体" w:hAnsi="宋体" w:cs="宋体"/>
          <w:b/>
          <w:sz w:val="24"/>
        </w:rPr>
      </w:pPr>
      <w:r>
        <w:rPr>
          <w:rFonts w:hint="eastAsia" w:ascii="宋体" w:hAnsi="宋体" w:cs="宋体"/>
          <w:b/>
          <w:sz w:val="24"/>
          <w:lang w:bidi="ar"/>
        </w:rPr>
        <w:t>交货</w:t>
      </w:r>
    </w:p>
    <w:p>
      <w:pPr>
        <w:adjustRightInd w:val="0"/>
        <w:snapToGrid w:val="0"/>
        <w:spacing w:line="360" w:lineRule="auto"/>
        <w:ind w:left="480"/>
        <w:rPr>
          <w:rFonts w:hint="eastAsia" w:ascii="宋体" w:hAnsi="宋体" w:cs="宋体"/>
          <w:sz w:val="24"/>
        </w:rPr>
      </w:pPr>
      <w:r>
        <w:rPr>
          <w:rFonts w:hint="eastAsia" w:ascii="宋体" w:hAnsi="宋体" w:cs="宋体"/>
          <w:sz w:val="24"/>
          <w:lang w:bidi="ar"/>
        </w:rPr>
        <w:t>1、交货时间为：</w:t>
      </w:r>
      <w:r>
        <w:rPr>
          <w:rFonts w:hint="eastAsia" w:ascii="宋体" w:hAnsi="宋体" w:cs="宋体"/>
          <w:sz w:val="24"/>
          <w:u w:val="single"/>
          <w:lang w:bidi="ar"/>
        </w:rPr>
        <w:t xml:space="preserve">              </w:t>
      </w:r>
    </w:p>
    <w:p>
      <w:pPr>
        <w:adjustRightInd w:val="0"/>
        <w:snapToGrid w:val="0"/>
        <w:spacing w:line="360" w:lineRule="auto"/>
        <w:ind w:left="480"/>
        <w:rPr>
          <w:rFonts w:hint="eastAsia" w:ascii="宋体" w:hAnsi="宋体" w:cs="宋体"/>
          <w:sz w:val="24"/>
        </w:rPr>
      </w:pPr>
      <w:r>
        <w:rPr>
          <w:rFonts w:hint="eastAsia" w:ascii="宋体" w:hAnsi="宋体" w:cs="宋体"/>
          <w:sz w:val="24"/>
          <w:lang w:bidi="ar"/>
        </w:rPr>
        <w:t>2、交货地点为：</w:t>
      </w:r>
      <w:r>
        <w:rPr>
          <w:rFonts w:hint="eastAsia" w:ascii="宋体" w:hAnsi="宋体" w:cs="宋体"/>
          <w:sz w:val="24"/>
          <w:u w:val="single"/>
          <w:lang w:bidi="ar"/>
        </w:rPr>
        <w:t xml:space="preserve">              </w:t>
      </w:r>
    </w:p>
    <w:p>
      <w:pPr>
        <w:adjustRightInd w:val="0"/>
        <w:snapToGrid w:val="0"/>
        <w:spacing w:line="360" w:lineRule="auto"/>
        <w:ind w:left="480"/>
        <w:rPr>
          <w:rFonts w:hint="eastAsia" w:ascii="宋体" w:hAnsi="宋体" w:cs="宋体"/>
          <w:sz w:val="24"/>
        </w:rPr>
      </w:pPr>
      <w:r>
        <w:rPr>
          <w:rFonts w:hint="eastAsia" w:ascii="宋体" w:hAnsi="宋体" w:cs="宋体"/>
          <w:sz w:val="24"/>
          <w:lang w:bidi="ar"/>
        </w:rPr>
        <w:t>3、双方指定现场收货及交货代表：</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甲方收货代表：</w:t>
      </w:r>
      <w:r>
        <w:rPr>
          <w:rFonts w:hint="eastAsia" w:ascii="宋体" w:hAnsi="宋体" w:cs="宋体"/>
          <w:sz w:val="24"/>
          <w:u w:val="single"/>
          <w:lang w:bidi="ar"/>
        </w:rPr>
        <w:t xml:space="preserve">           </w:t>
      </w:r>
      <w:r>
        <w:rPr>
          <w:rFonts w:hint="eastAsia" w:ascii="宋体" w:hAnsi="宋体" w:cs="宋体"/>
          <w:sz w:val="24"/>
          <w:lang w:bidi="ar"/>
        </w:rPr>
        <w:t>，联系电话：</w:t>
      </w:r>
      <w:r>
        <w:rPr>
          <w:rFonts w:hint="eastAsia" w:ascii="宋体" w:hAnsi="宋体" w:cs="宋体"/>
          <w:sz w:val="24"/>
          <w:u w:val="single"/>
          <w:lang w:bidi="ar"/>
        </w:rPr>
        <w:t xml:space="preserve">                  </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乙方交货代表：</w:t>
      </w:r>
      <w:r>
        <w:rPr>
          <w:rFonts w:hint="eastAsia" w:ascii="宋体" w:hAnsi="宋体" w:cs="宋体"/>
          <w:sz w:val="24"/>
          <w:u w:val="single"/>
          <w:lang w:bidi="ar"/>
        </w:rPr>
        <w:t xml:space="preserve">           </w:t>
      </w:r>
      <w:r>
        <w:rPr>
          <w:rFonts w:hint="eastAsia" w:ascii="宋体" w:hAnsi="宋体" w:cs="宋体"/>
          <w:sz w:val="24"/>
          <w:lang w:bidi="ar"/>
        </w:rPr>
        <w:t>，联系电话：</w:t>
      </w:r>
      <w:r>
        <w:rPr>
          <w:rFonts w:hint="eastAsia" w:ascii="宋体" w:hAnsi="宋体" w:cs="宋体"/>
          <w:sz w:val="24"/>
          <w:u w:val="single"/>
          <w:lang w:bidi="ar"/>
        </w:rPr>
        <w:t xml:space="preserve">                  </w:t>
      </w:r>
    </w:p>
    <w:p>
      <w:pPr>
        <w:adjustRightInd w:val="0"/>
        <w:snapToGrid w:val="0"/>
        <w:spacing w:line="360" w:lineRule="auto"/>
        <w:ind w:firstLine="456" w:firstLineChars="200"/>
        <w:rPr>
          <w:rFonts w:hint="eastAsia" w:ascii="宋体" w:hAnsi="宋体" w:cs="宋体"/>
          <w:spacing w:val="-6"/>
          <w:kern w:val="15"/>
          <w:sz w:val="24"/>
        </w:rPr>
      </w:pPr>
      <w:r>
        <w:rPr>
          <w:rFonts w:hint="eastAsia" w:ascii="宋体" w:hAnsi="宋体" w:cs="宋体"/>
          <w:spacing w:val="-6"/>
          <w:kern w:val="15"/>
          <w:sz w:val="24"/>
          <w:lang w:bidi="ar"/>
        </w:rPr>
        <w:t>4、乙方将货物一次运至交货地点，并于到货前24小时将到货名称、型号、数量、外形尺寸、单重及注意事项等，以书面形式通知甲方。</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5、到货后甲方应对产品进行验收。所有功能及性能指标符合合同约定及甲方要求，视为通过验收。验收合格后，甲方出具验收合格通知书。在此之前，合同产品损毁、灭失的风险由乙方承担。若甲方发现货物与装箱单不符，乙方负责补齐或收回。如乙方不能通过验收，甲方有权退货，乙方应接受甲方退货处理。因甲方退货产生的全部费用由乙方承担。</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6、甲方提出质量异议应当以书面方式向乙方提出。乙方收到甲方异议后，应在3日内予以响应，逾期未响应的，视为认可甲方异议。</w:t>
      </w:r>
    </w:p>
    <w:p>
      <w:pPr>
        <w:numPr>
          <w:ilvl w:val="0"/>
          <w:numId w:val="4"/>
        </w:numPr>
        <w:adjustRightInd w:val="0"/>
        <w:snapToGrid w:val="0"/>
        <w:spacing w:line="360" w:lineRule="auto"/>
        <w:ind w:left="0" w:firstLine="0"/>
        <w:rPr>
          <w:rFonts w:hint="eastAsia" w:ascii="宋体" w:hAnsi="宋体" w:cs="宋体"/>
          <w:b/>
          <w:sz w:val="24"/>
        </w:rPr>
      </w:pPr>
      <w:r>
        <w:rPr>
          <w:rFonts w:hint="eastAsia" w:ascii="宋体" w:hAnsi="宋体" w:cs="宋体"/>
          <w:b/>
          <w:sz w:val="24"/>
          <w:lang w:bidi="ar"/>
        </w:rPr>
        <w:t>价款及支付</w:t>
      </w:r>
    </w:p>
    <w:p>
      <w:pPr>
        <w:pStyle w:val="23"/>
        <w:widowControl/>
        <w:adjustRightInd w:val="0"/>
        <w:snapToGrid w:val="0"/>
        <w:spacing w:line="360" w:lineRule="auto"/>
        <w:ind w:firstLineChars="0"/>
        <w:rPr>
          <w:rFonts w:hint="eastAsia" w:ascii="等线" w:hAnsi="等线" w:eastAsia="等线"/>
          <w:sz w:val="24"/>
          <w:szCs w:val="24"/>
        </w:rPr>
      </w:pPr>
      <w:r>
        <w:rPr>
          <w:rFonts w:hint="eastAsia" w:ascii="宋体" w:hAnsi="宋体"/>
          <w:sz w:val="24"/>
          <w:szCs w:val="24"/>
        </w:rPr>
        <w:t>1、合同总价：人民币：</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元（大写：</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）。此价格为</w:t>
      </w:r>
      <w:r>
        <w:rPr>
          <w:rFonts w:hint="eastAsia" w:ascii="宋体" w:hAnsi="宋体"/>
          <w:sz w:val="24"/>
          <w:szCs w:val="24"/>
          <w:u w:val="single"/>
        </w:rPr>
        <w:t>含税价格</w:t>
      </w:r>
      <w:r>
        <w:rPr>
          <w:rFonts w:hint="eastAsia" w:ascii="宋体" w:hAnsi="宋体"/>
          <w:sz w:val="24"/>
          <w:szCs w:val="24"/>
        </w:rPr>
        <w:t>（税率：</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w:t>
      </w:r>
      <w:r>
        <w:rPr>
          <w:rFonts w:hint="eastAsia" w:ascii="宋体" w:hAnsi="宋体"/>
          <w:sz w:val="24"/>
          <w:szCs w:val="24"/>
          <w:highlight w:val="yellow"/>
          <w:lang w:eastAsia="zh-CN"/>
        </w:rPr>
        <w:t>（</w:t>
      </w:r>
      <w:r>
        <w:rPr>
          <w:rFonts w:hint="eastAsia" w:ascii="宋体" w:hAnsi="宋体"/>
          <w:sz w:val="24"/>
          <w:szCs w:val="24"/>
          <w:highlight w:val="yellow"/>
          <w:lang w:val="en-US" w:eastAsia="zh-CN"/>
        </w:rPr>
        <w:t>按照招标文件要求执行</w:t>
      </w:r>
      <w:r>
        <w:rPr>
          <w:rFonts w:hint="eastAsia" w:ascii="宋体" w:hAnsi="宋体"/>
          <w:sz w:val="24"/>
          <w:szCs w:val="24"/>
          <w:highlight w:val="yellow"/>
          <w:lang w:eastAsia="zh-CN"/>
        </w:rPr>
        <w:t>）</w:t>
      </w:r>
      <w:r>
        <w:rPr>
          <w:rFonts w:hint="eastAsia" w:ascii="宋体" w:hAnsi="宋体"/>
          <w:sz w:val="24"/>
          <w:szCs w:val="24"/>
        </w:rPr>
        <w:t>。合同总价包括但不限于合同产品的生产成本、包装费、运输费、装卸费、保险费、各种资料费等乙方履行本合同义务所需的全部费用，合同价格不因市场价格变化、政策调整、不可抗力事件或其他任何因素而调整。</w:t>
      </w:r>
      <w:r>
        <w:rPr>
          <w:rFonts w:hint="eastAsia" w:ascii="宋体" w:hAnsi="宋体"/>
          <w:b/>
          <w:sz w:val="24"/>
          <w:szCs w:val="24"/>
        </w:rPr>
        <w:t xml:space="preserve"> </w:t>
      </w:r>
    </w:p>
    <w:p>
      <w:pPr>
        <w:adjustRightInd w:val="0"/>
        <w:snapToGrid w:val="0"/>
        <w:spacing w:line="360" w:lineRule="auto"/>
        <w:ind w:firstLine="480" w:firstLineChars="200"/>
        <w:rPr>
          <w:rFonts w:hint="eastAsia" w:ascii="宋体" w:hAnsi="宋体" w:cs="宋体"/>
          <w:spacing w:val="-6"/>
          <w:kern w:val="15"/>
          <w:sz w:val="24"/>
          <w:u w:val="single"/>
        </w:rPr>
      </w:pPr>
      <w:r>
        <w:rPr>
          <w:rFonts w:hint="eastAsia" w:ascii="宋体" w:hAnsi="宋体" w:cs="宋体"/>
          <w:sz w:val="24"/>
          <w:highlight w:val="yellow"/>
          <w:lang w:bidi="ar"/>
        </w:rPr>
        <w:t>2、付款方式：</w:t>
      </w:r>
      <w:r>
        <w:rPr>
          <w:rFonts w:hint="eastAsia" w:ascii="宋体" w:hAnsi="宋体" w:cs="宋体"/>
          <w:spacing w:val="-6"/>
          <w:kern w:val="15"/>
          <w:sz w:val="24"/>
          <w:highlight w:val="yellow"/>
          <w:lang w:bidi="ar"/>
        </w:rPr>
        <w:t>货物经甲方验收合格，且乙方向甲方提供合法有效的、符合甲方要求的增值税发票，</w:t>
      </w:r>
      <w:r>
        <w:rPr>
          <w:rFonts w:hint="eastAsia" w:ascii="宋体" w:hAnsi="宋体" w:cs="宋体"/>
          <w:spacing w:val="-6"/>
          <w:kern w:val="15"/>
          <w:sz w:val="24"/>
          <w:highlight w:val="yellow"/>
          <w:lang w:val="en-US" w:eastAsia="zh-CN" w:bidi="ar"/>
        </w:rPr>
        <w:t>按批次据实结算</w:t>
      </w:r>
      <w:r>
        <w:rPr>
          <w:rFonts w:hint="eastAsia" w:ascii="宋体" w:hAnsi="宋体" w:cs="宋体"/>
          <w:spacing w:val="-6"/>
          <w:kern w:val="15"/>
          <w:sz w:val="24"/>
          <w:lang w:bidi="ar"/>
        </w:rPr>
        <w:t>。</w:t>
      </w:r>
    </w:p>
    <w:p>
      <w:pPr>
        <w:adjustRightInd w:val="0"/>
        <w:snapToGrid w:val="0"/>
        <w:spacing w:line="360" w:lineRule="auto"/>
        <w:ind w:firstLine="480" w:firstLineChars="200"/>
        <w:jc w:val="left"/>
        <w:rPr>
          <w:rFonts w:hint="eastAsia" w:ascii="宋体" w:hAnsi="宋体" w:cs="宋体"/>
          <w:sz w:val="24"/>
        </w:rPr>
      </w:pPr>
      <w:r>
        <w:rPr>
          <w:rFonts w:hint="eastAsia" w:ascii="宋体" w:hAnsi="宋体" w:cs="宋体"/>
          <w:sz w:val="24"/>
          <w:lang w:bidi="ar"/>
        </w:rPr>
        <w:t>3、乙方收款账户以本合同签字页中约定为准，乙方账户信息如有变更，乙方需提前</w:t>
      </w:r>
      <w:r>
        <w:rPr>
          <w:rFonts w:hint="eastAsia" w:ascii="宋体" w:hAnsi="宋体" w:cs="宋体"/>
          <w:sz w:val="24"/>
          <w:u w:val="single"/>
          <w:lang w:bidi="ar"/>
        </w:rPr>
        <w:t xml:space="preserve">    </w:t>
      </w:r>
      <w:r>
        <w:rPr>
          <w:rFonts w:hint="eastAsia" w:ascii="宋体" w:hAnsi="宋体" w:cs="宋体"/>
          <w:sz w:val="24"/>
          <w:lang w:bidi="ar"/>
        </w:rPr>
        <w:t>日以书面形式通知甲方。乙方对以乙方名义出具的印章、提供的账户的合法性、真实性负责，甲方没有义务核对，如印章、账户不真实，责任由乙方自行承担。</w:t>
      </w:r>
    </w:p>
    <w:p>
      <w:pPr>
        <w:adjustRightInd w:val="0"/>
        <w:snapToGrid w:val="0"/>
        <w:spacing w:line="360" w:lineRule="auto"/>
        <w:ind w:firstLine="480" w:firstLineChars="200"/>
        <w:jc w:val="left"/>
        <w:rPr>
          <w:rFonts w:hint="eastAsia" w:ascii="宋体" w:hAnsi="宋体" w:cs="宋体"/>
          <w:sz w:val="24"/>
        </w:rPr>
      </w:pPr>
      <w:r>
        <w:rPr>
          <w:rFonts w:hint="eastAsia" w:ascii="宋体" w:hAnsi="宋体" w:cs="宋体"/>
          <w:sz w:val="24"/>
          <w:lang w:bidi="ar"/>
        </w:rPr>
        <w:t>4、尽管有上述约定，甲方有权从任何一次应向乙方支付的款项中扣除乙方按照合同约定应向甲方支付的违约金、赔偿金或其他费用。</w:t>
      </w:r>
    </w:p>
    <w:p>
      <w:pPr>
        <w:adjustRightInd w:val="0"/>
        <w:snapToGrid w:val="0"/>
        <w:spacing w:line="360" w:lineRule="auto"/>
        <w:ind w:firstLine="480" w:firstLineChars="200"/>
        <w:jc w:val="left"/>
        <w:rPr>
          <w:rFonts w:hint="eastAsia" w:ascii="宋体" w:hAnsi="宋体" w:cs="宋体"/>
          <w:sz w:val="24"/>
        </w:rPr>
      </w:pPr>
      <w:r>
        <w:rPr>
          <w:rFonts w:hint="eastAsia" w:ascii="宋体" w:hAnsi="宋体" w:cs="宋体"/>
          <w:sz w:val="24"/>
          <w:lang w:bidi="ar"/>
        </w:rPr>
        <w:t>5、乙方应在甲方付款   日前将符合甲方要求的、合法有效的增值税发票送达甲方，否则甲方付款时间应予顺延。</w:t>
      </w:r>
    </w:p>
    <w:p>
      <w:pPr>
        <w:widowControl/>
        <w:adjustRightInd w:val="0"/>
        <w:snapToGrid w:val="0"/>
        <w:spacing w:line="360" w:lineRule="auto"/>
        <w:ind w:firstLine="480" w:firstLineChars="200"/>
        <w:jc w:val="left"/>
        <w:rPr>
          <w:rFonts w:hint="eastAsia" w:ascii="宋体" w:hAnsi="宋体" w:cs="宋体"/>
          <w:sz w:val="24"/>
        </w:rPr>
      </w:pPr>
      <w:r>
        <w:rPr>
          <w:rFonts w:hint="eastAsia" w:ascii="宋体" w:hAnsi="宋体" w:cs="宋体"/>
          <w:sz w:val="24"/>
          <w:lang w:bidi="ar"/>
        </w:rPr>
        <w:t>6、甲方对合同约定留存的任何保证金、质保金均无投资及增值义务，该条款约定款项将按合同约定的时间及方式无息支付。</w:t>
      </w:r>
    </w:p>
    <w:p>
      <w:pPr>
        <w:numPr>
          <w:ilvl w:val="0"/>
          <w:numId w:val="4"/>
        </w:numPr>
        <w:adjustRightInd w:val="0"/>
        <w:snapToGrid w:val="0"/>
        <w:spacing w:line="360" w:lineRule="auto"/>
        <w:ind w:left="0" w:firstLine="0"/>
        <w:rPr>
          <w:rFonts w:hint="eastAsia" w:ascii="宋体" w:hAnsi="宋体" w:cs="宋体"/>
          <w:b/>
          <w:sz w:val="24"/>
        </w:rPr>
      </w:pPr>
      <w:r>
        <w:rPr>
          <w:rFonts w:hint="eastAsia" w:ascii="宋体" w:hAnsi="宋体" w:cs="宋体"/>
          <w:b/>
          <w:sz w:val="24"/>
          <w:lang w:bidi="ar"/>
        </w:rPr>
        <w:t>质量保证期</w:t>
      </w:r>
    </w:p>
    <w:p>
      <w:pPr>
        <w:adjustRightInd w:val="0"/>
        <w:snapToGrid w:val="0"/>
        <w:spacing w:line="360" w:lineRule="auto"/>
        <w:ind w:firstLine="480" w:firstLineChars="200"/>
        <w:jc w:val="left"/>
        <w:rPr>
          <w:rFonts w:hint="eastAsia" w:ascii="宋体" w:hAnsi="宋体" w:cs="宋体"/>
          <w:sz w:val="24"/>
          <w:lang w:bidi="ar"/>
        </w:rPr>
      </w:pPr>
      <w:r>
        <w:rPr>
          <w:rFonts w:hint="eastAsia" w:ascii="宋体" w:hAnsi="宋体" w:cs="宋体"/>
          <w:sz w:val="24"/>
          <w:lang w:bidi="ar"/>
        </w:rPr>
        <w:t>质保期自货到经甲方验收合同出具验收合格通知书之日起算</w:t>
      </w:r>
      <w:r>
        <w:rPr>
          <w:rFonts w:hint="eastAsia" w:ascii="宋体" w:hAnsi="宋体"/>
          <w:sz w:val="24"/>
          <w:lang w:bidi="ar"/>
        </w:rPr>
        <w:t xml:space="preserve">   </w:t>
      </w:r>
      <w:r>
        <w:rPr>
          <w:rFonts w:hint="eastAsia" w:ascii="宋体" w:hAnsi="宋体" w:cs="宋体"/>
          <w:sz w:val="24"/>
          <w:lang w:bidi="ar"/>
        </w:rPr>
        <w:t>年。质保期内货物质量出现问题，乙方应在接到甲方通知后   日内负责三包（包修、包换、包退），由此产生的费用由乙方负担。如质保期内存在质量问题，乙方在约定期限内不积极配合解决问题，甲方有权从应付款内扣除货款原值及造成的损失款。</w:t>
      </w:r>
    </w:p>
    <w:p>
      <w:pPr>
        <w:numPr>
          <w:ilvl w:val="0"/>
          <w:numId w:val="4"/>
        </w:numPr>
        <w:adjustRightInd w:val="0"/>
        <w:snapToGrid w:val="0"/>
        <w:spacing w:line="360" w:lineRule="auto"/>
        <w:ind w:left="0" w:firstLine="0"/>
        <w:rPr>
          <w:rFonts w:hint="eastAsia" w:ascii="宋体" w:hAnsi="宋体" w:cs="宋体"/>
          <w:b/>
          <w:sz w:val="24"/>
        </w:rPr>
      </w:pPr>
      <w:r>
        <w:rPr>
          <w:rFonts w:hint="eastAsia" w:ascii="宋体" w:hAnsi="宋体" w:cs="宋体"/>
          <w:b/>
          <w:sz w:val="24"/>
          <w:lang w:bidi="ar"/>
        </w:rPr>
        <w:t>知识产权</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1、乙方应保证依据本合同所提供的产品以及相关的软件和技术资料，乙方均已合法享有其相关知识产权或已得到有关知识产权权利人的合法授权；对于乙方提供的非乙方享有知识产权权属的的产品，乙方须提供有关知识产权权利人的合法授权资质证明。</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2、乙方应保证所供产品未侵犯任何国家的组织及个人的知识产权，并保障甲方免于承受因产品侵犯任何知识产权而遭受诉讼、仲裁、索赔或其他经济损失，否则乙方承担甲方因此产生的所有损失（包括且不限于律师费、诉讼费）。</w:t>
      </w:r>
    </w:p>
    <w:p>
      <w:pPr>
        <w:numPr>
          <w:ilvl w:val="0"/>
          <w:numId w:val="4"/>
        </w:numPr>
        <w:adjustRightInd w:val="0"/>
        <w:snapToGrid w:val="0"/>
        <w:spacing w:line="360" w:lineRule="auto"/>
        <w:ind w:left="0" w:firstLine="0"/>
        <w:rPr>
          <w:rFonts w:hint="eastAsia" w:ascii="宋体" w:hAnsi="宋体" w:cs="宋体"/>
          <w:b/>
          <w:sz w:val="24"/>
        </w:rPr>
      </w:pPr>
      <w:r>
        <w:rPr>
          <w:rFonts w:hint="eastAsia" w:ascii="宋体" w:hAnsi="宋体" w:cs="宋体"/>
          <w:b/>
          <w:sz w:val="24"/>
          <w:lang w:bidi="ar"/>
        </w:rPr>
        <w:t>保密条款</w:t>
      </w:r>
    </w:p>
    <w:p>
      <w:pPr>
        <w:adjustRightInd w:val="0"/>
        <w:snapToGrid w:val="0"/>
        <w:spacing w:line="360" w:lineRule="auto"/>
        <w:ind w:left="480"/>
        <w:rPr>
          <w:rFonts w:ascii="宋体" w:hAnsi="宋体" w:cs="宋体"/>
          <w:sz w:val="24"/>
          <w:lang w:bidi="ar"/>
        </w:rPr>
      </w:pPr>
      <w:r>
        <w:rPr>
          <w:rFonts w:hint="eastAsia" w:ascii="宋体" w:hAnsi="宋体" w:cs="宋体"/>
          <w:sz w:val="24"/>
          <w:lang w:bidi="ar"/>
        </w:rPr>
        <w:t>1、任何一方对于因签署或履行本合同而了解或接触到的对方的机密资料和</w:t>
      </w:r>
    </w:p>
    <w:p>
      <w:pPr>
        <w:adjustRightInd w:val="0"/>
        <w:snapToGrid w:val="0"/>
        <w:spacing w:line="360" w:lineRule="auto"/>
        <w:rPr>
          <w:rFonts w:hint="eastAsia" w:ascii="宋体" w:hAnsi="宋体" w:cs="宋体"/>
          <w:sz w:val="24"/>
        </w:rPr>
      </w:pPr>
      <w:r>
        <w:rPr>
          <w:rFonts w:hint="eastAsia" w:ascii="宋体" w:hAnsi="宋体" w:cs="宋体"/>
          <w:sz w:val="24"/>
          <w:lang w:bidi="ar"/>
        </w:rPr>
        <w:t>信息除非有明显的证据证明该等信息属于公知信息，均有保密义务；非经对方书面同意，任何一方不得向第三方泄露、给予或转让该等保密信息。</w:t>
      </w:r>
    </w:p>
    <w:p>
      <w:pPr>
        <w:adjustRightInd w:val="0"/>
        <w:snapToGrid w:val="0"/>
        <w:spacing w:line="360" w:lineRule="auto"/>
        <w:ind w:firstLine="480" w:firstLineChars="200"/>
        <w:rPr>
          <w:rFonts w:ascii="宋体" w:hAnsi="宋体" w:cs="宋体"/>
          <w:sz w:val="24"/>
        </w:rPr>
      </w:pPr>
      <w:r>
        <w:rPr>
          <w:rFonts w:hint="eastAsia" w:ascii="宋体" w:hAnsi="宋体" w:cs="宋体"/>
          <w:sz w:val="24"/>
          <w:lang w:bidi="ar"/>
        </w:rPr>
        <w:t>2、如对方提出要求，任何一方均应将载有对方保密信息的任何文件、资料或软件，按对方要求归还对方，或予以销毁，或进行其他处置，并且不得继续使用这些保密信息。</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3、</w:t>
      </w:r>
      <w:r>
        <w:rPr>
          <w:rFonts w:hint="eastAsia" w:ascii="宋体" w:hAnsi="宋体" w:cs="宋体"/>
          <w:sz w:val="24"/>
          <w:lang w:bidi="ar"/>
        </w:rPr>
        <w:t>在本合同终止之后，各方在本合同项下的义务并不随之终止，各方仍需遵守本合同之保密条款，履行其所承诺的保密义务，直到其他方同意其解除此项义务，或事实上不会因违反本合同的保密条款而给其他方造成任何形式的损害时为止。</w:t>
      </w:r>
    </w:p>
    <w:p>
      <w:pPr>
        <w:numPr>
          <w:ilvl w:val="0"/>
          <w:numId w:val="4"/>
        </w:numPr>
        <w:adjustRightInd w:val="0"/>
        <w:snapToGrid w:val="0"/>
        <w:spacing w:line="360" w:lineRule="auto"/>
        <w:ind w:left="0" w:firstLine="0"/>
        <w:rPr>
          <w:rFonts w:hint="eastAsia" w:ascii="宋体" w:hAnsi="宋体" w:cs="宋体"/>
          <w:b/>
          <w:sz w:val="24"/>
        </w:rPr>
      </w:pPr>
      <w:r>
        <w:rPr>
          <w:rFonts w:hint="eastAsia" w:ascii="宋体" w:hAnsi="宋体" w:cs="宋体"/>
          <w:b/>
          <w:sz w:val="24"/>
          <w:lang w:bidi="ar"/>
        </w:rPr>
        <w:t>违约责任</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1、乙方不能交付货物或交付的货物不符合质量要求、技术标准，应向甲方支付合同总价</w:t>
      </w:r>
      <w:r>
        <w:rPr>
          <w:rFonts w:ascii="宋体" w:hAnsi="宋体" w:cs="宋体"/>
          <w:sz w:val="24"/>
          <w:u w:val="single"/>
          <w:lang w:bidi="ar"/>
        </w:rPr>
        <w:t xml:space="preserve">   </w:t>
      </w:r>
      <w:r>
        <w:rPr>
          <w:rFonts w:hint="eastAsia" w:ascii="宋体" w:hAnsi="宋体" w:cs="宋体"/>
          <w:sz w:val="24"/>
          <w:lang w:bidi="ar"/>
        </w:rPr>
        <w:t>%的违约金。</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2、乙方逾期交付货物，每逾期1天，甲方有权向乙方索取逾期交货部分货款总价的</w:t>
      </w:r>
      <w:r>
        <w:rPr>
          <w:rFonts w:ascii="宋体" w:hAnsi="宋体" w:cs="宋体"/>
          <w:sz w:val="24"/>
          <w:u w:val="single"/>
          <w:lang w:bidi="ar"/>
        </w:rPr>
        <w:t xml:space="preserve">   </w:t>
      </w:r>
      <w:r>
        <w:rPr>
          <w:rFonts w:hint="eastAsia" w:ascii="宋体" w:hAnsi="宋体" w:cs="宋体"/>
          <w:sz w:val="24"/>
          <w:lang w:bidi="ar"/>
        </w:rPr>
        <w:t>‰的违约金，如乙方逾期交货达</w:t>
      </w:r>
      <w:r>
        <w:rPr>
          <w:rFonts w:ascii="宋体" w:hAnsi="宋体" w:cs="宋体"/>
          <w:sz w:val="24"/>
          <w:u w:val="single"/>
          <w:lang w:bidi="ar"/>
        </w:rPr>
        <w:t xml:space="preserve">   </w:t>
      </w:r>
      <w:r>
        <w:rPr>
          <w:rFonts w:hint="eastAsia" w:ascii="宋体" w:hAnsi="宋体" w:cs="宋体"/>
          <w:sz w:val="24"/>
          <w:lang w:bidi="ar"/>
        </w:rPr>
        <w:t>天，甲方有权解除合同并要求乙方承担合同总价</w:t>
      </w:r>
      <w:r>
        <w:rPr>
          <w:rFonts w:ascii="宋体" w:hAnsi="宋体" w:cs="宋体"/>
          <w:sz w:val="24"/>
          <w:u w:val="single"/>
          <w:lang w:bidi="ar"/>
        </w:rPr>
        <w:t xml:space="preserve">   </w:t>
      </w:r>
      <w:r>
        <w:rPr>
          <w:rFonts w:hint="eastAsia" w:ascii="宋体" w:hAnsi="宋体" w:cs="宋体"/>
          <w:sz w:val="24"/>
          <w:lang w:bidi="ar"/>
        </w:rPr>
        <w:t>%的违约金。</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3、乙方未在合同约定时间内履行质保责任的，每迟延一天应向甲方支付合同总价</w:t>
      </w:r>
      <w:r>
        <w:rPr>
          <w:rFonts w:ascii="宋体" w:hAnsi="宋体" w:cs="宋体"/>
          <w:sz w:val="24"/>
          <w:u w:val="single"/>
          <w:lang w:bidi="ar"/>
        </w:rPr>
        <w:t xml:space="preserve">   </w:t>
      </w:r>
      <w:r>
        <w:rPr>
          <w:rFonts w:hint="eastAsia" w:ascii="宋体" w:hAnsi="宋体" w:cs="宋体"/>
          <w:sz w:val="24"/>
          <w:lang w:bidi="ar"/>
        </w:rPr>
        <w:t>‰的违约金。在质量保证期内，如发现乙方提供的货物存在缺陷，不符合合同约定时，甲方可向乙方提出索赔。乙方应按甲方要求自费进行修理、更换，或办理退货，给甲方造成损失的，并应赔偿甲方的损失。乙方未按甲方要求对有缺陷的合同货物进行修理、更换或办理退货的，甲方有权自行或委托第三方对合同货物进行修理或更换，由此发生的所有费用均由乙方承担。</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4、乙方有其他违反合同约定的行为，应向甲方支付合同总价</w:t>
      </w:r>
      <w:r>
        <w:rPr>
          <w:rFonts w:ascii="宋体" w:hAnsi="宋体" w:cs="宋体"/>
          <w:sz w:val="24"/>
          <w:u w:val="single"/>
          <w:lang w:bidi="ar"/>
        </w:rPr>
        <w:t xml:space="preserve">   </w:t>
      </w:r>
      <w:r>
        <w:rPr>
          <w:rFonts w:hint="eastAsia" w:ascii="宋体" w:hAnsi="宋体" w:cs="宋体"/>
          <w:sz w:val="24"/>
          <w:lang w:bidi="ar"/>
        </w:rPr>
        <w:t>%的违约金。</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5、乙方支付的违约金不足以弥补因乙方违约给甲方造成的实际损失时，乙方在支付违约金的同时还应当向甲方赔偿损失。甲方的损失还包括但不限于甲方为处理纠纷所发生的诉讼费、仲裁费、律师费、差旅费、评估费、保全费、公告费、执行费等。</w:t>
      </w:r>
    </w:p>
    <w:p>
      <w:pPr>
        <w:numPr>
          <w:ilvl w:val="0"/>
          <w:numId w:val="4"/>
        </w:numPr>
        <w:adjustRightInd w:val="0"/>
        <w:snapToGrid w:val="0"/>
        <w:spacing w:line="360" w:lineRule="auto"/>
        <w:ind w:left="0" w:firstLine="0"/>
        <w:rPr>
          <w:rFonts w:hint="eastAsia" w:ascii="宋体" w:hAnsi="宋体" w:cs="宋体"/>
          <w:b/>
          <w:sz w:val="24"/>
        </w:rPr>
      </w:pPr>
      <w:r>
        <w:rPr>
          <w:rFonts w:hint="eastAsia" w:ascii="宋体" w:hAnsi="宋体" w:cs="宋体"/>
          <w:b/>
          <w:sz w:val="24"/>
          <w:lang w:bidi="ar"/>
        </w:rPr>
        <w:t>通知与送达</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1、本合同一方给对方的通知，包括发生纠纷后的相关文件、法律文书等，应以书面形式作出，并通过专人递送、特快专递、电子邮件或传真方式送达如下地址和联系人。一方对其送达地址作出变更的，应自变更之日起五日内将变更后的送达地址书面告知对方，否则送达地址仍以本合同载明为准：</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甲方：</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地址：</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联系人：</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电话：</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Email:</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乙方：</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地址：</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邮编：</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联系人：</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电话：</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Email:</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2、通知在下列时间视为已送达：</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（1）若为专人递交，于递送时；</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（2）若为特快专递递交，于付邮日的第三个营业日上午10时；</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（3）若为电子邮件递交，于邮件到达对方的邮箱系统时；</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（4）若为传真递交，于传真发送时（经印有收件者传真号码及日期和时间的成功的传输报告证明）；</w:t>
      </w:r>
    </w:p>
    <w:p>
      <w:pPr>
        <w:adjustRightInd w:val="0"/>
        <w:snapToGrid w:val="0"/>
        <w:spacing w:line="360" w:lineRule="auto"/>
        <w:ind w:firstLine="480" w:firstLineChars="200"/>
        <w:rPr>
          <w:rFonts w:hint="eastAsia" w:ascii="宋体" w:hAnsi="宋体"/>
          <w:sz w:val="24"/>
        </w:rPr>
      </w:pPr>
      <w:r>
        <w:rPr>
          <w:rFonts w:hint="eastAsia" w:ascii="宋体" w:hAnsi="宋体" w:cs="宋体"/>
          <w:sz w:val="24"/>
          <w:lang w:bidi="ar"/>
        </w:rPr>
        <w:t>（5）以专人递交、电子邮件或传真方式递交时，若专人递送、电子邮件或传真发送发生在某营业日的下午6时后或者在非营业日，则应视为于下一个营业日上午9时送达。</w:t>
      </w:r>
    </w:p>
    <w:p>
      <w:pPr>
        <w:numPr>
          <w:ilvl w:val="0"/>
          <w:numId w:val="5"/>
        </w:numPr>
        <w:adjustRightInd w:val="0"/>
        <w:snapToGrid w:val="0"/>
        <w:spacing w:line="360" w:lineRule="auto"/>
        <w:ind w:firstLine="480" w:firstLineChars="200"/>
        <w:rPr>
          <w:rFonts w:hint="eastAsia" w:ascii="宋体" w:hAnsi="宋体" w:cs="宋体"/>
          <w:szCs w:val="21"/>
        </w:rPr>
      </w:pPr>
      <w:r>
        <w:rPr>
          <w:rFonts w:hint="eastAsia" w:ascii="宋体" w:hAnsi="宋体" w:cs="宋体"/>
          <w:sz w:val="24"/>
          <w:lang w:bidi="ar"/>
        </w:rPr>
        <w:t>该条款同样适用于司法送达。</w:t>
      </w:r>
      <w:r>
        <w:rPr>
          <w:rFonts w:hint="eastAsia" w:ascii="宋体" w:hAnsi="宋体"/>
          <w:sz w:val="24"/>
          <w:lang w:bidi="ar"/>
        </w:rPr>
        <w:t xml:space="preserve"> </w:t>
      </w:r>
    </w:p>
    <w:p>
      <w:pPr>
        <w:numPr>
          <w:ilvl w:val="0"/>
          <w:numId w:val="4"/>
        </w:numPr>
        <w:adjustRightInd w:val="0"/>
        <w:snapToGrid w:val="0"/>
        <w:spacing w:line="360" w:lineRule="auto"/>
        <w:ind w:left="0" w:firstLine="0"/>
        <w:rPr>
          <w:rFonts w:hint="eastAsia" w:ascii="宋体" w:hAnsi="宋体" w:cs="宋体"/>
          <w:b/>
          <w:sz w:val="24"/>
        </w:rPr>
      </w:pPr>
      <w:r>
        <w:rPr>
          <w:rFonts w:hint="eastAsia" w:ascii="宋体" w:hAnsi="宋体" w:cs="宋体"/>
          <w:b/>
          <w:sz w:val="24"/>
          <w:lang w:bidi="ar"/>
        </w:rPr>
        <w:t>争议解决</w:t>
      </w:r>
    </w:p>
    <w:p>
      <w:pPr>
        <w:adjustRightInd w:val="0"/>
        <w:snapToGrid w:val="0"/>
        <w:spacing w:line="360" w:lineRule="auto"/>
        <w:ind w:firstLine="480" w:firstLineChars="200"/>
        <w:rPr>
          <w:rFonts w:hint="eastAsia" w:ascii="宋体" w:hAnsi="宋体" w:cs="宋体"/>
          <w:color w:val="FF0000"/>
          <w:sz w:val="24"/>
        </w:rPr>
      </w:pPr>
      <w:r>
        <w:rPr>
          <w:rFonts w:hint="eastAsia" w:ascii="宋体" w:hAnsi="宋体" w:cs="宋体"/>
          <w:sz w:val="24"/>
          <w:lang w:bidi="ar"/>
        </w:rPr>
        <w:t>因履行本合同发生争议，双方进行协商解决，如双方协商解决不成，按以下第</w:t>
      </w:r>
      <w:r>
        <w:rPr>
          <w:rFonts w:hint="eastAsia" w:ascii="宋体" w:hAnsi="宋体" w:cs="宋体"/>
          <w:sz w:val="24"/>
          <w:u w:val="single"/>
          <w:lang w:bidi="ar"/>
        </w:rPr>
        <w:t xml:space="preserve">   </w:t>
      </w:r>
      <w:r>
        <w:rPr>
          <w:rFonts w:hint="eastAsia" w:ascii="宋体" w:hAnsi="宋体" w:cs="宋体"/>
          <w:sz w:val="24"/>
          <w:lang w:bidi="ar"/>
        </w:rPr>
        <w:t>种方式执行。</w:t>
      </w:r>
      <w:r>
        <w:rPr>
          <w:rFonts w:hint="eastAsia" w:ascii="宋体" w:hAnsi="宋体" w:cs="宋体"/>
          <w:color w:val="FF0000"/>
          <w:sz w:val="24"/>
          <w:lang w:bidi="ar"/>
        </w:rPr>
        <w:t>（注：建议优先选择诉讼方式）</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（1）向</w:t>
      </w:r>
      <w:r>
        <w:rPr>
          <w:rFonts w:hint="eastAsia" w:ascii="宋体" w:hAnsi="宋体" w:cs="宋体"/>
          <w:sz w:val="24"/>
          <w:u w:val="single"/>
          <w:lang w:bidi="ar"/>
        </w:rPr>
        <w:t xml:space="preserve">   </w:t>
      </w:r>
      <w:r>
        <w:rPr>
          <w:rFonts w:hint="eastAsia" w:ascii="宋体" w:hAnsi="宋体" w:cs="宋体"/>
          <w:sz w:val="24"/>
          <w:lang w:bidi="ar"/>
        </w:rPr>
        <w:t>仲裁委员会申请仲裁；</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（2）向</w:t>
      </w:r>
      <w:r>
        <w:rPr>
          <w:rFonts w:hint="eastAsia" w:ascii="宋体" w:hAnsi="宋体" w:cs="宋体"/>
          <w:sz w:val="24"/>
          <w:u w:val="single"/>
          <w:lang w:bidi="ar"/>
        </w:rPr>
        <w:t xml:space="preserve">  </w:t>
      </w:r>
      <w:r>
        <w:rPr>
          <w:rFonts w:hint="eastAsia" w:ascii="宋体" w:hAnsi="宋体" w:cs="宋体"/>
          <w:sz w:val="24"/>
          <w:lang w:bidi="ar"/>
        </w:rPr>
        <w:t>人民法院提起诉讼。</w:t>
      </w:r>
    </w:p>
    <w:p>
      <w:pPr>
        <w:adjustRightInd w:val="0"/>
        <w:snapToGrid w:val="0"/>
        <w:spacing w:line="360" w:lineRule="auto"/>
        <w:ind w:firstLine="720" w:firstLineChars="300"/>
        <w:rPr>
          <w:rFonts w:hint="eastAsia" w:ascii="宋体" w:hAnsi="宋体" w:cs="宋体"/>
          <w:sz w:val="24"/>
        </w:rPr>
      </w:pPr>
      <w:r>
        <w:rPr>
          <w:rFonts w:hint="eastAsia" w:ascii="宋体" w:hAnsi="宋体" w:cs="宋体"/>
          <w:sz w:val="24"/>
          <w:lang w:bidi="ar"/>
        </w:rPr>
        <w:t>争议解决期间，与争议无涉的其他合同条款，应当继续履行。</w:t>
      </w:r>
    </w:p>
    <w:p>
      <w:pPr>
        <w:numPr>
          <w:ilvl w:val="0"/>
          <w:numId w:val="4"/>
        </w:numPr>
        <w:adjustRightInd w:val="0"/>
        <w:snapToGrid w:val="0"/>
        <w:spacing w:line="360" w:lineRule="auto"/>
        <w:ind w:left="0" w:firstLine="0"/>
        <w:rPr>
          <w:rFonts w:hint="eastAsia" w:ascii="宋体" w:hAnsi="宋体" w:cs="宋体"/>
          <w:b/>
          <w:sz w:val="24"/>
        </w:rPr>
      </w:pPr>
      <w:r>
        <w:rPr>
          <w:rFonts w:hint="eastAsia" w:ascii="宋体" w:hAnsi="宋体" w:cs="宋体"/>
          <w:b/>
          <w:sz w:val="24"/>
          <w:lang w:bidi="ar"/>
        </w:rPr>
        <w:t>合同效力及其它</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1、本合同正本一式</w:t>
      </w:r>
      <w:r>
        <w:rPr>
          <w:rFonts w:hint="eastAsia" w:ascii="宋体" w:hAnsi="宋体" w:cs="宋体"/>
          <w:sz w:val="24"/>
          <w:u w:val="single"/>
          <w:lang w:bidi="ar"/>
        </w:rPr>
        <w:t xml:space="preserve">     </w:t>
      </w:r>
      <w:r>
        <w:rPr>
          <w:rFonts w:hint="eastAsia" w:ascii="宋体" w:hAnsi="宋体" w:cs="宋体"/>
          <w:sz w:val="24"/>
          <w:lang w:bidi="ar"/>
        </w:rPr>
        <w:t>份，双方各执</w:t>
      </w:r>
      <w:r>
        <w:rPr>
          <w:rFonts w:hint="eastAsia" w:ascii="宋体" w:hAnsi="宋体" w:cs="宋体"/>
          <w:sz w:val="24"/>
          <w:u w:val="single"/>
          <w:lang w:bidi="ar"/>
        </w:rPr>
        <w:t xml:space="preserve">     </w:t>
      </w:r>
      <w:r>
        <w:rPr>
          <w:rFonts w:hint="eastAsia" w:ascii="宋体" w:hAnsi="宋体" w:cs="宋体"/>
          <w:sz w:val="24"/>
          <w:lang w:bidi="ar"/>
        </w:rPr>
        <w:t>份。</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2、本合同经双方法定代表人或授权代表签字并加盖公章或合同专用章后生效。</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3、本合同生效后，凡需对本合同条款进行修改或补充时，应经双方协商后，以书面的补充协议方式予以明确，补充协议经双方法定代表人或授权代表签字并加盖公章或合同专用章后生效。</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 xml:space="preserve"> </w:t>
      </w:r>
    </w:p>
    <w:p>
      <w:pPr>
        <w:numPr>
          <w:ilvl w:val="0"/>
          <w:numId w:val="4"/>
        </w:numPr>
        <w:adjustRightInd w:val="0"/>
        <w:snapToGrid w:val="0"/>
        <w:spacing w:line="360" w:lineRule="auto"/>
        <w:ind w:left="0" w:firstLine="0"/>
        <w:rPr>
          <w:rFonts w:hint="eastAsia" w:ascii="宋体" w:hAnsi="宋体" w:cs="宋体"/>
          <w:b/>
          <w:sz w:val="24"/>
        </w:rPr>
      </w:pPr>
      <w:r>
        <w:rPr>
          <w:rFonts w:hint="eastAsia" w:ascii="宋体" w:hAnsi="宋体" w:cs="宋体"/>
          <w:b/>
          <w:sz w:val="24"/>
          <w:lang w:bidi="ar"/>
        </w:rPr>
        <w:t>其他条款</w:t>
      </w:r>
    </w:p>
    <w:p>
      <w:pPr>
        <w:adjustRightInd w:val="0"/>
        <w:snapToGrid w:val="0"/>
        <w:spacing w:line="360" w:lineRule="auto"/>
        <w:rPr>
          <w:rFonts w:hint="eastAsia" w:ascii="宋体" w:hAnsi="宋体" w:cs="宋体"/>
          <w:sz w:val="24"/>
          <w:u w:val="single"/>
        </w:rPr>
      </w:pPr>
      <w:r>
        <w:rPr>
          <w:rFonts w:hint="eastAsia" w:ascii="宋体" w:hAnsi="宋体" w:cs="宋体"/>
          <w:sz w:val="24"/>
          <w:u w:val="single"/>
          <w:lang w:bidi="ar"/>
        </w:rPr>
        <w:t xml:space="preserve">                                            </w:t>
      </w:r>
      <w:r>
        <w:rPr>
          <w:rFonts w:ascii="宋体" w:hAnsi="宋体" w:cs="宋体"/>
          <w:sz w:val="24"/>
          <w:u w:val="single"/>
          <w:lang w:bidi="ar"/>
        </w:rPr>
        <w:t xml:space="preserve">                  </w:t>
      </w:r>
      <w:r>
        <w:rPr>
          <w:rFonts w:hint="eastAsia" w:ascii="宋体" w:hAnsi="宋体" w:cs="宋体"/>
          <w:sz w:val="24"/>
          <w:u w:val="single"/>
          <w:lang w:bidi="ar"/>
        </w:rPr>
        <w:t xml:space="preserve">        </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bidi="ar"/>
        </w:rPr>
        <w:t>（以下无正文）</w:t>
      </w:r>
    </w:p>
    <w:p>
      <w:pPr>
        <w:widowControl/>
        <w:adjustRightInd w:val="0"/>
        <w:snapToGrid w:val="0"/>
        <w:spacing w:after="120" w:line="360" w:lineRule="auto"/>
        <w:jc w:val="center"/>
        <w:outlineLvl w:val="0"/>
        <w:rPr>
          <w:rFonts w:eastAsia="黑体"/>
          <w:b/>
          <w:sz w:val="36"/>
          <w:szCs w:val="36"/>
        </w:rPr>
      </w:pPr>
      <w:r>
        <w:rPr>
          <w:rFonts w:hint="eastAsia" w:ascii="宋体" w:hAnsi="宋体" w:cs="宋体"/>
          <w:b/>
          <w:sz w:val="28"/>
          <w:szCs w:val="28"/>
          <w:lang w:bidi="ar"/>
        </w:rPr>
        <w:br w:type="page"/>
      </w:r>
      <w:bookmarkStart w:id="22" w:name="_Toc554"/>
      <w:r>
        <w:rPr>
          <w:rFonts w:hint="eastAsia" w:eastAsia="黑体"/>
          <w:b/>
          <w:sz w:val="36"/>
          <w:szCs w:val="36"/>
        </w:rPr>
        <w:t>签 署 页</w:t>
      </w:r>
      <w:bookmarkEnd w:id="22"/>
    </w:p>
    <w:tbl>
      <w:tblPr>
        <w:tblStyle w:val="14"/>
        <w:tblW w:w="919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5"/>
        <w:gridCol w:w="4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trPr>
        <w:tc>
          <w:tcPr>
            <w:tcW w:w="4595" w:type="dxa"/>
            <w:noWrap w:val="0"/>
            <w:vAlign w:val="center"/>
          </w:tcPr>
          <w:p>
            <w:pPr>
              <w:pStyle w:val="33"/>
              <w:tabs>
                <w:tab w:val="left" w:pos="709"/>
                <w:tab w:val="clear" w:pos="941"/>
              </w:tabs>
              <w:snapToGrid w:val="0"/>
              <w:spacing w:before="0" w:after="0"/>
              <w:outlineLvl w:val="9"/>
              <w:rPr>
                <w:b/>
                <w:bCs/>
                <w:szCs w:val="24"/>
              </w:rPr>
            </w:pPr>
            <w:bookmarkStart w:id="23" w:name="_Toc3377"/>
            <w:bookmarkStart w:id="24" w:name="_Toc6208"/>
            <w:r>
              <w:rPr>
                <w:rFonts w:hint="eastAsia"/>
                <w:b/>
                <w:bCs/>
                <w:szCs w:val="24"/>
              </w:rPr>
              <w:t>甲方</w:t>
            </w:r>
            <w:r>
              <w:rPr>
                <w:rFonts w:hint="eastAsia"/>
                <w:b/>
                <w:bCs/>
                <w:color w:val="000000"/>
                <w:szCs w:val="24"/>
              </w:rPr>
              <w:t>（盖章）</w:t>
            </w:r>
            <w:r>
              <w:rPr>
                <w:rFonts w:hint="eastAsia"/>
                <w:b/>
                <w:bCs/>
                <w:szCs w:val="24"/>
              </w:rPr>
              <w:t>：</w:t>
            </w:r>
            <w:bookmarkEnd w:id="23"/>
            <w:r>
              <w:rPr>
                <w:rFonts w:hint="eastAsia"/>
                <w:b/>
                <w:bCs/>
                <w:szCs w:val="24"/>
              </w:rPr>
              <w:t>************公司</w:t>
            </w:r>
            <w:bookmarkEnd w:id="24"/>
          </w:p>
        </w:tc>
        <w:tc>
          <w:tcPr>
            <w:tcW w:w="4603" w:type="dxa"/>
            <w:noWrap w:val="0"/>
            <w:vAlign w:val="center"/>
          </w:tcPr>
          <w:p>
            <w:pPr>
              <w:pStyle w:val="33"/>
              <w:tabs>
                <w:tab w:val="left" w:pos="709"/>
                <w:tab w:val="clear" w:pos="941"/>
              </w:tabs>
              <w:snapToGrid w:val="0"/>
              <w:spacing w:before="0" w:after="0"/>
              <w:outlineLvl w:val="9"/>
              <w:rPr>
                <w:b/>
                <w:bCs/>
                <w:szCs w:val="24"/>
              </w:rPr>
            </w:pPr>
            <w:bookmarkStart w:id="25" w:name="_Toc14147"/>
            <w:bookmarkStart w:id="26" w:name="_Toc10381"/>
            <w:r>
              <w:rPr>
                <w:rFonts w:hint="eastAsia"/>
                <w:b/>
                <w:bCs/>
                <w:szCs w:val="24"/>
              </w:rPr>
              <w:t>乙方</w:t>
            </w:r>
            <w:r>
              <w:rPr>
                <w:rFonts w:hint="eastAsia"/>
                <w:b/>
                <w:bCs/>
                <w:color w:val="000000"/>
                <w:szCs w:val="24"/>
              </w:rPr>
              <w:t>（盖章）</w:t>
            </w:r>
            <w:r>
              <w:rPr>
                <w:rFonts w:hint="eastAsia"/>
                <w:b/>
                <w:bCs/>
                <w:szCs w:val="24"/>
              </w:rPr>
              <w:t>：</w:t>
            </w:r>
            <w:bookmarkEnd w:id="25"/>
            <w:r>
              <w:rPr>
                <w:rFonts w:hint="eastAsia"/>
                <w:b/>
                <w:bCs/>
                <w:szCs w:val="24"/>
              </w:rPr>
              <w:t>************公司</w:t>
            </w:r>
            <w:bookmarkEnd w:id="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cs="Courier New"/>
                <w:spacing w:val="6"/>
                <w:sz w:val="24"/>
              </w:rPr>
            </w:pPr>
            <w:r>
              <w:rPr>
                <w:rFonts w:hint="eastAsia"/>
                <w:sz w:val="24"/>
              </w:rPr>
              <w:t>法定代表人（负责人）或</w:t>
            </w:r>
          </w:p>
          <w:p>
            <w:pPr>
              <w:adjustRightInd w:val="0"/>
              <w:snapToGrid w:val="0"/>
              <w:spacing w:after="156" w:afterLines="50" w:line="400" w:lineRule="exact"/>
              <w:rPr>
                <w:rFonts w:cs="Courier New"/>
                <w:spacing w:val="6"/>
                <w:sz w:val="24"/>
              </w:rPr>
            </w:pPr>
            <w:r>
              <w:rPr>
                <w:rFonts w:hint="eastAsia"/>
                <w:sz w:val="24"/>
              </w:rPr>
              <w:t>授权代表（签字）：</w:t>
            </w:r>
          </w:p>
        </w:tc>
        <w:tc>
          <w:tcPr>
            <w:tcW w:w="4603" w:type="dxa"/>
            <w:noWrap w:val="0"/>
            <w:vAlign w:val="bottom"/>
          </w:tcPr>
          <w:p>
            <w:pPr>
              <w:adjustRightInd w:val="0"/>
              <w:snapToGrid w:val="0"/>
              <w:spacing w:after="156" w:afterLines="50" w:line="400" w:lineRule="exact"/>
              <w:rPr>
                <w:rFonts w:cs="Courier New"/>
                <w:spacing w:val="6"/>
                <w:sz w:val="24"/>
              </w:rPr>
            </w:pPr>
            <w:r>
              <w:rPr>
                <w:rFonts w:hint="eastAsia"/>
                <w:sz w:val="24"/>
              </w:rPr>
              <w:t>法定代表人（负责人）或</w:t>
            </w:r>
          </w:p>
          <w:p>
            <w:pPr>
              <w:adjustRightInd w:val="0"/>
              <w:snapToGrid w:val="0"/>
              <w:spacing w:after="156" w:afterLines="50" w:line="400" w:lineRule="exact"/>
              <w:rPr>
                <w:rFonts w:cs="Courier New"/>
                <w:spacing w:val="6"/>
                <w:sz w:val="24"/>
              </w:rPr>
            </w:pPr>
            <w:r>
              <w:rPr>
                <w:rFonts w:hint="eastAsia"/>
                <w:sz w:val="24"/>
              </w:rPr>
              <w:t>授权代表（签字）：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sz w:val="24"/>
              </w:rPr>
            </w:pPr>
            <w:r>
              <w:rPr>
                <w:rFonts w:hint="eastAsia"/>
                <w:sz w:val="24"/>
              </w:rPr>
              <w:t>办公地址：</w:t>
            </w:r>
          </w:p>
        </w:tc>
        <w:tc>
          <w:tcPr>
            <w:tcW w:w="4603" w:type="dxa"/>
            <w:noWrap w:val="0"/>
            <w:vAlign w:val="bottom"/>
          </w:tcPr>
          <w:p>
            <w:pPr>
              <w:adjustRightInd w:val="0"/>
              <w:snapToGrid w:val="0"/>
              <w:spacing w:after="156" w:afterLines="50" w:line="400" w:lineRule="exact"/>
              <w:rPr>
                <w:sz w:val="24"/>
              </w:rPr>
            </w:pPr>
            <w:r>
              <w:rPr>
                <w:rFonts w:hint="eastAsia"/>
                <w:sz w:val="24"/>
              </w:rPr>
              <w:t>办公地址：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sz w:val="24"/>
              </w:rPr>
            </w:pPr>
            <w:r>
              <w:rPr>
                <w:rFonts w:hint="eastAsia"/>
                <w:sz w:val="24"/>
              </w:rPr>
              <w:t>邮编：</w:t>
            </w:r>
          </w:p>
        </w:tc>
        <w:tc>
          <w:tcPr>
            <w:tcW w:w="4603" w:type="dxa"/>
            <w:noWrap w:val="0"/>
            <w:vAlign w:val="bottom"/>
          </w:tcPr>
          <w:p>
            <w:pPr>
              <w:adjustRightInd w:val="0"/>
              <w:snapToGrid w:val="0"/>
              <w:spacing w:after="156" w:afterLines="50" w:line="400" w:lineRule="exact"/>
              <w:rPr>
                <w:sz w:val="24"/>
              </w:rPr>
            </w:pPr>
            <w:r>
              <w:rPr>
                <w:rFonts w:hint="eastAsia"/>
                <w:sz w:val="24"/>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sz w:val="24"/>
              </w:rPr>
            </w:pPr>
            <w:r>
              <w:rPr>
                <w:rFonts w:hint="eastAsia"/>
                <w:sz w:val="24"/>
              </w:rPr>
              <w:t>商务联系人：</w:t>
            </w:r>
          </w:p>
        </w:tc>
        <w:tc>
          <w:tcPr>
            <w:tcW w:w="4603" w:type="dxa"/>
            <w:noWrap w:val="0"/>
            <w:vAlign w:val="bottom"/>
          </w:tcPr>
          <w:p>
            <w:pPr>
              <w:adjustRightInd w:val="0"/>
              <w:snapToGrid w:val="0"/>
              <w:spacing w:after="156" w:afterLines="50" w:line="400" w:lineRule="exact"/>
              <w:rPr>
                <w:sz w:val="24"/>
              </w:rPr>
            </w:pPr>
            <w:r>
              <w:rPr>
                <w:rFonts w:hint="eastAsia"/>
                <w:sz w:val="24"/>
              </w:rPr>
              <w:t>商务联系人：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sz w:val="24"/>
              </w:rPr>
            </w:pPr>
            <w:r>
              <w:rPr>
                <w:rFonts w:hint="eastAsia"/>
                <w:sz w:val="24"/>
              </w:rPr>
              <w:t>联系电话：</w:t>
            </w:r>
          </w:p>
        </w:tc>
        <w:tc>
          <w:tcPr>
            <w:tcW w:w="4603" w:type="dxa"/>
            <w:noWrap w:val="0"/>
            <w:vAlign w:val="bottom"/>
          </w:tcPr>
          <w:p>
            <w:pPr>
              <w:adjustRightInd w:val="0"/>
              <w:snapToGrid w:val="0"/>
              <w:spacing w:after="156" w:afterLines="50" w:line="400" w:lineRule="exact"/>
              <w:rPr>
                <w:sz w:val="24"/>
              </w:rPr>
            </w:pPr>
            <w:r>
              <w:rPr>
                <w:rFonts w:hint="eastAsia"/>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cs="Courier New"/>
                <w:sz w:val="24"/>
              </w:rPr>
            </w:pPr>
            <w:r>
              <w:rPr>
                <w:rFonts w:hint="eastAsia"/>
                <w:sz w:val="24"/>
              </w:rPr>
              <w:t>传真：/</w:t>
            </w:r>
          </w:p>
          <w:p>
            <w:pPr>
              <w:adjustRightInd w:val="0"/>
              <w:snapToGrid w:val="0"/>
              <w:spacing w:after="156" w:afterLines="50" w:line="400" w:lineRule="exact"/>
              <w:rPr>
                <w:rFonts w:cs="Courier New"/>
                <w:sz w:val="24"/>
              </w:rPr>
            </w:pPr>
            <w:r>
              <w:rPr>
                <w:rFonts w:hint="eastAsia"/>
                <w:sz w:val="24"/>
              </w:rPr>
              <w:t>Email:</w:t>
            </w:r>
          </w:p>
        </w:tc>
        <w:tc>
          <w:tcPr>
            <w:tcW w:w="4603" w:type="dxa"/>
            <w:noWrap w:val="0"/>
            <w:vAlign w:val="bottom"/>
          </w:tcPr>
          <w:p>
            <w:pPr>
              <w:adjustRightInd w:val="0"/>
              <w:snapToGrid w:val="0"/>
              <w:spacing w:after="156" w:afterLines="50" w:line="400" w:lineRule="exact"/>
              <w:rPr>
                <w:rFonts w:cs="Courier New"/>
                <w:sz w:val="24"/>
              </w:rPr>
            </w:pPr>
            <w:r>
              <w:rPr>
                <w:rFonts w:hint="eastAsia"/>
                <w:sz w:val="24"/>
              </w:rPr>
              <w:t>传真：/</w:t>
            </w:r>
          </w:p>
          <w:p>
            <w:pPr>
              <w:adjustRightInd w:val="0"/>
              <w:snapToGrid w:val="0"/>
              <w:spacing w:after="156" w:afterLines="50" w:line="400" w:lineRule="exact"/>
              <w:rPr>
                <w:rFonts w:cs="Courier New"/>
                <w:sz w:val="24"/>
              </w:rPr>
            </w:pPr>
            <w:r>
              <w:rPr>
                <w:rFonts w:hint="eastAsia"/>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sz w:val="24"/>
              </w:rPr>
            </w:pPr>
            <w:r>
              <w:rPr>
                <w:rFonts w:hint="eastAsia"/>
                <w:sz w:val="24"/>
              </w:rPr>
              <w:t>注册地址：</w:t>
            </w:r>
          </w:p>
        </w:tc>
        <w:tc>
          <w:tcPr>
            <w:tcW w:w="4603" w:type="dxa"/>
            <w:noWrap w:val="0"/>
            <w:vAlign w:val="bottom"/>
          </w:tcPr>
          <w:p>
            <w:pPr>
              <w:adjustRightInd w:val="0"/>
              <w:snapToGrid w:val="0"/>
              <w:spacing w:after="156" w:afterLines="50" w:line="400" w:lineRule="exact"/>
              <w:rPr>
                <w:sz w:val="24"/>
              </w:rPr>
            </w:pPr>
            <w:r>
              <w:rPr>
                <w:rFonts w:hint="eastAsia"/>
                <w:sz w:val="24"/>
              </w:rPr>
              <w:t>注册地址：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cs="Courier New"/>
                <w:sz w:val="24"/>
              </w:rPr>
            </w:pPr>
            <w:r>
              <w:rPr>
                <w:rFonts w:hint="eastAsia"/>
                <w:sz w:val="24"/>
              </w:rPr>
              <w:t>开户银行：</w:t>
            </w:r>
          </w:p>
        </w:tc>
        <w:tc>
          <w:tcPr>
            <w:tcW w:w="4603" w:type="dxa"/>
            <w:noWrap w:val="0"/>
            <w:vAlign w:val="bottom"/>
          </w:tcPr>
          <w:p>
            <w:pPr>
              <w:adjustRightInd w:val="0"/>
              <w:snapToGrid w:val="0"/>
              <w:spacing w:after="156" w:afterLines="50" w:line="400" w:lineRule="exact"/>
              <w:rPr>
                <w:rFonts w:ascii="宋体" w:hAnsi="Courier New" w:cs="Courier New"/>
                <w:sz w:val="24"/>
              </w:rPr>
            </w:pPr>
            <w:r>
              <w:rPr>
                <w:rFonts w:hint="eastAsia"/>
                <w:sz w:val="24"/>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ascii="宋体" w:hAnsi="Courier New" w:cs="Courier New"/>
                <w:sz w:val="24"/>
              </w:rPr>
            </w:pPr>
            <w:r>
              <w:rPr>
                <w:rFonts w:hint="eastAsia"/>
                <w:sz w:val="24"/>
              </w:rPr>
              <w:t>账号：</w:t>
            </w:r>
          </w:p>
        </w:tc>
        <w:tc>
          <w:tcPr>
            <w:tcW w:w="4603" w:type="dxa"/>
            <w:noWrap w:val="0"/>
            <w:vAlign w:val="bottom"/>
          </w:tcPr>
          <w:p>
            <w:pPr>
              <w:adjustRightInd w:val="0"/>
              <w:snapToGrid w:val="0"/>
              <w:spacing w:after="156" w:afterLines="50" w:line="400" w:lineRule="exact"/>
              <w:rPr>
                <w:rFonts w:ascii="宋体" w:hAnsi="Courier New" w:cs="Courier New"/>
                <w:sz w:val="24"/>
              </w:rPr>
            </w:pPr>
            <w:r>
              <w:rPr>
                <w:rFonts w:hint="eastAsia"/>
                <w:sz w:val="24"/>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sz w:val="24"/>
              </w:rPr>
            </w:pPr>
            <w:r>
              <w:rPr>
                <w:rFonts w:hint="eastAsia"/>
                <w:sz w:val="24"/>
              </w:rPr>
              <w:t>开票电话：</w:t>
            </w:r>
          </w:p>
        </w:tc>
        <w:tc>
          <w:tcPr>
            <w:tcW w:w="4603" w:type="dxa"/>
            <w:noWrap w:val="0"/>
            <w:vAlign w:val="bottom"/>
          </w:tcPr>
          <w:p>
            <w:pPr>
              <w:adjustRightInd w:val="0"/>
              <w:snapToGrid w:val="0"/>
              <w:spacing w:after="156" w:afterLines="50" w:line="400" w:lineRule="exact"/>
              <w:rPr>
                <w:sz w:val="24"/>
              </w:rPr>
            </w:pPr>
            <w:r>
              <w:rPr>
                <w:rFonts w:hint="eastAsia"/>
                <w:sz w:val="24"/>
              </w:rPr>
              <w:t>开票电话：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ascii="宋体" w:hAnsi="Courier New" w:cs="Courier New"/>
                <w:sz w:val="24"/>
              </w:rPr>
            </w:pPr>
            <w:r>
              <w:rPr>
                <w:rFonts w:hint="eastAsia"/>
                <w:color w:val="000000"/>
                <w:sz w:val="24"/>
              </w:rPr>
              <w:t>统一社会信用代码</w:t>
            </w:r>
            <w:r>
              <w:rPr>
                <w:rFonts w:hint="eastAsia"/>
                <w:sz w:val="24"/>
              </w:rPr>
              <w:t xml:space="preserve">： </w:t>
            </w:r>
          </w:p>
        </w:tc>
        <w:tc>
          <w:tcPr>
            <w:tcW w:w="4603" w:type="dxa"/>
            <w:noWrap w:val="0"/>
            <w:vAlign w:val="bottom"/>
          </w:tcPr>
          <w:p>
            <w:pPr>
              <w:adjustRightInd w:val="0"/>
              <w:snapToGrid w:val="0"/>
              <w:spacing w:after="156" w:afterLines="50" w:line="400" w:lineRule="exact"/>
              <w:rPr>
                <w:rFonts w:ascii="宋体" w:hAnsi="Courier New" w:cs="Courier New"/>
                <w:sz w:val="24"/>
              </w:rPr>
            </w:pPr>
            <w:r>
              <w:rPr>
                <w:rFonts w:hint="eastAsia"/>
                <w:color w:val="000000"/>
                <w:sz w:val="24"/>
              </w:rPr>
              <w:t>统一社会信用代码</w:t>
            </w: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ascii="宋体" w:hAnsi="Courier New" w:cs="Courier New"/>
                <w:sz w:val="24"/>
              </w:rPr>
            </w:pPr>
            <w:r>
              <w:rPr>
                <w:rFonts w:hint="eastAsia"/>
                <w:sz w:val="24"/>
              </w:rPr>
              <w:t>开户行地址：</w:t>
            </w:r>
          </w:p>
        </w:tc>
        <w:tc>
          <w:tcPr>
            <w:tcW w:w="4603" w:type="dxa"/>
            <w:noWrap w:val="0"/>
            <w:vAlign w:val="bottom"/>
          </w:tcPr>
          <w:p>
            <w:pPr>
              <w:adjustRightInd w:val="0"/>
              <w:snapToGrid w:val="0"/>
              <w:spacing w:after="156" w:afterLines="50" w:line="400" w:lineRule="exact"/>
              <w:rPr>
                <w:rFonts w:ascii="宋体" w:hAnsi="Courier New" w:cs="Courier New"/>
                <w:sz w:val="24"/>
              </w:rPr>
            </w:pPr>
            <w:r>
              <w:rPr>
                <w:rFonts w:hint="eastAsia"/>
                <w:sz w:val="24"/>
              </w:rPr>
              <w:t>开户行地址：</w:t>
            </w:r>
          </w:p>
        </w:tc>
      </w:tr>
    </w:tbl>
    <w:p>
      <w:pPr>
        <w:pStyle w:val="7"/>
        <w:spacing w:line="360" w:lineRule="auto"/>
        <w:ind w:firstLine="840" w:firstLineChars="300"/>
        <w:rPr>
          <w:rFonts w:hint="eastAsia" w:ascii="仿宋" w:hAnsi="仿宋" w:eastAsia="仿宋" w:cs="Calibri"/>
          <w:color w:val="auto"/>
          <w:kern w:val="0"/>
          <w:sz w:val="28"/>
          <w:szCs w:val="28"/>
          <w:lang w:val="en-US" w:eastAsia="zh-CN" w:bidi="ar-SA"/>
        </w:rPr>
        <w:sectPr>
          <w:pgSz w:w="11906" w:h="16838"/>
          <w:pgMar w:top="1440" w:right="1077" w:bottom="1440" w:left="1803" w:header="851" w:footer="992" w:gutter="0"/>
          <w:pgNumType w:fmt="decimal"/>
          <w:cols w:space="425" w:num="1"/>
          <w:titlePg/>
          <w:docGrid w:type="lines" w:linePitch="312" w:charSpace="0"/>
        </w:sectPr>
      </w:pPr>
    </w:p>
    <w:p>
      <w:pPr>
        <w:pStyle w:val="7"/>
        <w:spacing w:line="360" w:lineRule="auto"/>
        <w:rPr>
          <w:rFonts w:ascii="仿宋" w:hAnsi="仿宋" w:eastAsia="仿宋"/>
          <w:color w:val="auto"/>
          <w:sz w:val="28"/>
          <w:szCs w:val="28"/>
        </w:rPr>
      </w:pPr>
    </w:p>
    <w:p>
      <w:pPr>
        <w:pStyle w:val="3"/>
        <w:overflowPunct w:val="0"/>
        <w:spacing w:line="360" w:lineRule="auto"/>
        <w:rPr>
          <w:rFonts w:ascii="仿宋" w:hAnsi="仿宋" w:eastAsia="仿宋"/>
          <w:color w:val="auto"/>
        </w:rPr>
      </w:pPr>
      <w:bookmarkStart w:id="27" w:name="_Toc12331"/>
      <w:r>
        <w:rPr>
          <w:rFonts w:hint="eastAsia" w:ascii="仿宋" w:hAnsi="仿宋" w:eastAsia="仿宋"/>
          <w:color w:val="auto"/>
        </w:rPr>
        <w:t>第</w:t>
      </w:r>
      <w:r>
        <w:rPr>
          <w:rFonts w:hint="eastAsia" w:ascii="仿宋" w:hAnsi="仿宋" w:eastAsia="仿宋"/>
          <w:color w:val="auto"/>
          <w:lang w:val="en-US" w:eastAsia="zh-CN"/>
        </w:rPr>
        <w:t>五</w:t>
      </w:r>
      <w:r>
        <w:rPr>
          <w:rFonts w:hint="eastAsia" w:ascii="仿宋" w:hAnsi="仿宋" w:eastAsia="仿宋"/>
          <w:color w:val="auto"/>
        </w:rPr>
        <w:t>章、响应文件格式与要求(参考)</w:t>
      </w:r>
      <w:bookmarkEnd w:id="20"/>
      <w:bookmarkEnd w:id="27"/>
    </w:p>
    <w:p>
      <w:pPr>
        <w:pStyle w:val="4"/>
        <w:overflowPunct w:val="0"/>
        <w:spacing w:line="415" w:lineRule="auto"/>
        <w:ind w:firstLine="561" w:firstLineChars="200"/>
        <w:rPr>
          <w:rFonts w:ascii="仿宋" w:hAnsi="仿宋" w:eastAsia="仿宋"/>
          <w:color w:val="auto"/>
          <w:sz w:val="28"/>
        </w:rPr>
      </w:pPr>
      <w:bookmarkStart w:id="28" w:name="_Toc25351"/>
      <w:bookmarkStart w:id="29" w:name="_Toc31340"/>
      <w:bookmarkStart w:id="30" w:name="_Toc515961876"/>
      <w:bookmarkStart w:id="31" w:name="_Toc511901338"/>
      <w:bookmarkStart w:id="32" w:name="_Toc10461"/>
      <w:bookmarkStart w:id="33" w:name="_Toc482106466"/>
      <w:bookmarkStart w:id="34" w:name="_Toc12969"/>
      <w:bookmarkStart w:id="35" w:name="_Toc508179917"/>
      <w:r>
        <w:rPr>
          <w:rFonts w:hint="eastAsia" w:ascii="仿宋" w:hAnsi="仿宋" w:eastAsia="仿宋"/>
          <w:color w:val="auto"/>
          <w:sz w:val="28"/>
        </w:rPr>
        <w:t>格式一：</w:t>
      </w:r>
      <w:bookmarkEnd w:id="28"/>
      <w:bookmarkEnd w:id="29"/>
      <w:bookmarkEnd w:id="30"/>
      <w:bookmarkEnd w:id="31"/>
      <w:bookmarkEnd w:id="32"/>
      <w:bookmarkEnd w:id="33"/>
      <w:bookmarkEnd w:id="34"/>
      <w:bookmarkEnd w:id="35"/>
    </w:p>
    <w:p>
      <w:pPr>
        <w:overflowPunct w:val="0"/>
        <w:jc w:val="center"/>
        <w:rPr>
          <w:rFonts w:ascii="仿宋" w:hAnsi="仿宋" w:eastAsia="仿宋"/>
          <w:color w:val="auto"/>
        </w:rPr>
      </w:pPr>
      <w:r>
        <w:rPr>
          <w:rFonts w:hint="eastAsia" w:ascii="仿宋" w:hAnsi="仿宋" w:eastAsia="仿宋"/>
          <w:color w:val="auto"/>
          <w:sz w:val="40"/>
        </w:rPr>
        <w:t>（相应文件封面）</w:t>
      </w:r>
    </w:p>
    <w:p>
      <w:pPr>
        <w:overflowPunct w:val="0"/>
        <w:jc w:val="center"/>
        <w:rPr>
          <w:rFonts w:ascii="仿宋" w:hAnsi="仿宋" w:eastAsia="仿宋"/>
          <w:color w:val="auto"/>
          <w:sz w:val="52"/>
          <w:szCs w:val="52"/>
        </w:rPr>
      </w:pPr>
      <w:r>
        <w:rPr>
          <w:rFonts w:hint="eastAsia" w:ascii="仿宋" w:hAnsi="仿宋" w:eastAsia="仿宋"/>
          <w:color w:val="auto"/>
          <w:sz w:val="52"/>
          <w:szCs w:val="52"/>
        </w:rPr>
        <w:t>询价/竞争性磋商响应文件</w:t>
      </w:r>
    </w:p>
    <w:p>
      <w:pPr>
        <w:overflowPunct w:val="0"/>
        <w:jc w:val="center"/>
        <w:rPr>
          <w:rFonts w:ascii="仿宋" w:hAnsi="仿宋" w:eastAsia="仿宋"/>
          <w:color w:val="auto"/>
          <w:sz w:val="52"/>
          <w:szCs w:val="52"/>
        </w:rPr>
      </w:pPr>
      <w:r>
        <w:rPr>
          <w:rFonts w:hint="eastAsia" w:ascii="仿宋" w:hAnsi="仿宋" w:eastAsia="仿宋"/>
          <w:color w:val="auto"/>
          <w:sz w:val="52"/>
          <w:szCs w:val="52"/>
        </w:rPr>
        <w:t>（正本/副本）</w:t>
      </w:r>
    </w:p>
    <w:p>
      <w:pPr>
        <w:overflowPunct w:val="0"/>
        <w:jc w:val="center"/>
        <w:rPr>
          <w:rFonts w:ascii="仿宋" w:hAnsi="仿宋" w:eastAsia="仿宋"/>
          <w:color w:val="auto"/>
          <w:sz w:val="44"/>
          <w:szCs w:val="44"/>
        </w:rPr>
      </w:pPr>
      <w:r>
        <w:rPr>
          <w:rFonts w:hint="eastAsia" w:ascii="仿宋" w:hAnsi="仿宋" w:eastAsia="仿宋"/>
          <w:color w:val="auto"/>
          <w:sz w:val="44"/>
          <w:szCs w:val="44"/>
        </w:rPr>
        <w:t>项目名称：</w:t>
      </w:r>
    </w:p>
    <w:p>
      <w:pPr>
        <w:overflowPunct w:val="0"/>
        <w:jc w:val="center"/>
        <w:rPr>
          <w:rFonts w:ascii="仿宋" w:hAnsi="仿宋" w:eastAsia="仿宋"/>
          <w:color w:val="auto"/>
          <w:sz w:val="44"/>
          <w:szCs w:val="44"/>
        </w:rPr>
      </w:pPr>
      <w:r>
        <w:rPr>
          <w:rFonts w:hint="eastAsia" w:ascii="仿宋" w:hAnsi="仿宋" w:eastAsia="仿宋"/>
          <w:color w:val="auto"/>
          <w:sz w:val="44"/>
          <w:szCs w:val="44"/>
        </w:rPr>
        <w:t>项目编号：</w:t>
      </w: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44"/>
          <w:szCs w:val="44"/>
        </w:rPr>
      </w:pPr>
      <w:r>
        <w:rPr>
          <w:rFonts w:hint="eastAsia" w:ascii="仿宋" w:hAnsi="仿宋" w:eastAsia="仿宋"/>
          <w:color w:val="auto"/>
          <w:sz w:val="44"/>
          <w:szCs w:val="44"/>
        </w:rPr>
        <w:t>竞标人名称</w:t>
      </w:r>
    </w:p>
    <w:p>
      <w:pPr>
        <w:overflowPunct w:val="0"/>
        <w:jc w:val="center"/>
        <w:rPr>
          <w:rFonts w:ascii="仿宋" w:hAnsi="仿宋" w:eastAsia="仿宋"/>
          <w:color w:val="auto"/>
          <w:sz w:val="44"/>
          <w:szCs w:val="44"/>
        </w:rPr>
      </w:pPr>
    </w:p>
    <w:p>
      <w:pPr>
        <w:overflowPunct w:val="0"/>
        <w:jc w:val="center"/>
        <w:rPr>
          <w:rFonts w:ascii="仿宋" w:hAnsi="仿宋" w:eastAsia="仿宋"/>
          <w:color w:val="auto"/>
          <w:sz w:val="44"/>
          <w:szCs w:val="44"/>
        </w:rPr>
      </w:pPr>
      <w:r>
        <w:rPr>
          <w:rFonts w:hint="eastAsia" w:ascii="仿宋" w:hAnsi="仿宋" w:eastAsia="仿宋"/>
          <w:color w:val="auto"/>
          <w:sz w:val="44"/>
          <w:szCs w:val="44"/>
        </w:rPr>
        <w:t>年    月    日</w:t>
      </w: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pStyle w:val="4"/>
        <w:overflowPunct w:val="0"/>
        <w:spacing w:line="415" w:lineRule="auto"/>
        <w:ind w:firstLine="561" w:firstLineChars="200"/>
        <w:rPr>
          <w:rFonts w:hint="eastAsia" w:ascii="仿宋" w:hAnsi="仿宋" w:eastAsia="仿宋"/>
          <w:color w:val="auto"/>
          <w:sz w:val="28"/>
        </w:rPr>
      </w:pPr>
      <w:bookmarkStart w:id="36" w:name="_Toc482106467"/>
      <w:bookmarkStart w:id="37" w:name="_Toc16397"/>
      <w:bookmarkStart w:id="38" w:name="_Toc515961877"/>
      <w:bookmarkStart w:id="39" w:name="_Toc511901339"/>
      <w:bookmarkStart w:id="40" w:name="_Toc8808"/>
      <w:bookmarkStart w:id="41" w:name="_Toc29605"/>
      <w:bookmarkStart w:id="42" w:name="_Toc8365"/>
      <w:bookmarkStart w:id="43" w:name="_Toc508179918"/>
      <w:r>
        <w:rPr>
          <w:rFonts w:hint="eastAsia" w:ascii="仿宋" w:hAnsi="仿宋" w:eastAsia="仿宋"/>
          <w:color w:val="auto"/>
          <w:sz w:val="28"/>
        </w:rPr>
        <w:t>格式二：</w:t>
      </w:r>
      <w:bookmarkEnd w:id="36"/>
      <w:bookmarkEnd w:id="37"/>
      <w:bookmarkEnd w:id="38"/>
      <w:bookmarkEnd w:id="39"/>
      <w:bookmarkEnd w:id="40"/>
      <w:bookmarkEnd w:id="41"/>
      <w:bookmarkEnd w:id="42"/>
      <w:bookmarkEnd w:id="43"/>
    </w:p>
    <w:p>
      <w:pPr>
        <w:overflowPunct w:val="0"/>
        <w:jc w:val="center"/>
        <w:rPr>
          <w:rFonts w:ascii="仿宋" w:hAnsi="仿宋" w:eastAsia="仿宋"/>
          <w:color w:val="auto"/>
          <w:sz w:val="32"/>
          <w:szCs w:val="32"/>
        </w:rPr>
      </w:pPr>
      <w:r>
        <w:rPr>
          <w:rFonts w:hint="eastAsia" w:ascii="仿宋" w:hAnsi="仿宋" w:eastAsia="仿宋"/>
          <w:color w:val="auto"/>
          <w:sz w:val="32"/>
          <w:szCs w:val="32"/>
        </w:rPr>
        <w:t>目录</w:t>
      </w:r>
    </w:p>
    <w:p>
      <w:pPr>
        <w:overflowPunct w:val="0"/>
        <w:rPr>
          <w:rFonts w:ascii="仿宋" w:hAnsi="仿宋" w:eastAsia="仿宋"/>
          <w:color w:val="auto"/>
          <w:sz w:val="32"/>
          <w:szCs w:val="32"/>
        </w:rPr>
      </w:pPr>
    </w:p>
    <w:p>
      <w:pPr>
        <w:overflowPunct w:val="0"/>
        <w:spacing w:line="480" w:lineRule="exact"/>
        <w:jc w:val="center"/>
        <w:rPr>
          <w:rFonts w:ascii="仿宋" w:hAnsi="仿宋" w:eastAsia="仿宋"/>
          <w:b/>
          <w:color w:val="auto"/>
          <w:sz w:val="28"/>
          <w:szCs w:val="28"/>
        </w:rPr>
      </w:pPr>
    </w:p>
    <w:p>
      <w:pPr>
        <w:overflowPunct w:val="0"/>
        <w:spacing w:line="360" w:lineRule="auto"/>
        <w:rPr>
          <w:rFonts w:hint="eastAsia" w:ascii="仿宋" w:hAnsi="仿宋" w:eastAsia="仿宋"/>
          <w:color w:val="auto"/>
          <w:sz w:val="28"/>
          <w:szCs w:val="28"/>
        </w:rPr>
      </w:pPr>
      <w:r>
        <w:rPr>
          <w:rFonts w:hint="eastAsia" w:ascii="仿宋" w:hAnsi="仿宋" w:eastAsia="仿宋"/>
          <w:color w:val="auto"/>
          <w:sz w:val="28"/>
          <w:szCs w:val="28"/>
        </w:rPr>
        <w:t>一、投标承诺书…………………………………………………………（ ）</w:t>
      </w:r>
    </w:p>
    <w:p>
      <w:pPr>
        <w:overflowPunct w:val="0"/>
        <w:spacing w:line="360" w:lineRule="auto"/>
        <w:rPr>
          <w:rFonts w:hint="eastAsia" w:ascii="仿宋" w:hAnsi="仿宋" w:eastAsia="仿宋"/>
          <w:color w:val="auto"/>
          <w:sz w:val="28"/>
          <w:szCs w:val="28"/>
        </w:rPr>
      </w:pPr>
      <w:r>
        <w:rPr>
          <w:rFonts w:hint="eastAsia" w:ascii="仿宋" w:hAnsi="仿宋" w:eastAsia="仿宋" w:cs="Calibri"/>
          <w:color w:val="auto"/>
          <w:kern w:val="2"/>
          <w:sz w:val="28"/>
          <w:szCs w:val="28"/>
          <w:lang w:val="en-US" w:eastAsia="zh-CN" w:bidi="ar-SA"/>
        </w:rPr>
        <w:t>二、供应商投标承诺书</w:t>
      </w:r>
      <w:r>
        <w:rPr>
          <w:rFonts w:hint="eastAsia" w:ascii="仿宋" w:hAnsi="仿宋" w:eastAsia="仿宋"/>
          <w:color w:val="auto"/>
          <w:sz w:val="28"/>
          <w:szCs w:val="28"/>
        </w:rPr>
        <w:t>…………………………………………………（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lang w:val="en-US" w:eastAsia="zh-CN"/>
        </w:rPr>
        <w:t>三</w:t>
      </w:r>
      <w:r>
        <w:rPr>
          <w:rFonts w:hint="eastAsia" w:ascii="仿宋" w:hAnsi="仿宋" w:eastAsia="仿宋"/>
          <w:color w:val="auto"/>
          <w:sz w:val="28"/>
          <w:szCs w:val="28"/>
        </w:rPr>
        <w:t>、法定代表人授权委托书……………………………………………（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lang w:val="en-US" w:eastAsia="zh-CN"/>
        </w:rPr>
        <w:t>四</w:t>
      </w:r>
      <w:r>
        <w:rPr>
          <w:rFonts w:hint="eastAsia" w:ascii="仿宋" w:hAnsi="仿宋" w:eastAsia="仿宋"/>
          <w:color w:val="auto"/>
          <w:sz w:val="28"/>
          <w:szCs w:val="28"/>
        </w:rPr>
        <w:t>、项目分项报价明细表………………………………………………（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lang w:val="en-US" w:eastAsia="zh-CN"/>
        </w:rPr>
        <w:t>五</w:t>
      </w:r>
      <w:r>
        <w:rPr>
          <w:rFonts w:hint="eastAsia" w:ascii="仿宋" w:hAnsi="仿宋" w:eastAsia="仿宋"/>
          <w:color w:val="auto"/>
          <w:sz w:val="28"/>
          <w:szCs w:val="28"/>
        </w:rPr>
        <w:t>、项目服务方案、承诺和质量保证措施……………………………（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lang w:val="en-US" w:eastAsia="zh-CN"/>
        </w:rPr>
        <w:t>六</w:t>
      </w:r>
      <w:r>
        <w:rPr>
          <w:rFonts w:hint="eastAsia" w:ascii="仿宋" w:hAnsi="仿宋" w:eastAsia="仿宋"/>
          <w:color w:val="auto"/>
          <w:sz w:val="28"/>
          <w:szCs w:val="28"/>
        </w:rPr>
        <w:t>、各类</w:t>
      </w:r>
      <w:r>
        <w:rPr>
          <w:rFonts w:hint="eastAsia" w:ascii="仿宋" w:hAnsi="仿宋" w:eastAsia="仿宋"/>
          <w:color w:val="auto"/>
          <w:sz w:val="28"/>
          <w:szCs w:val="28"/>
          <w:lang w:val="zh-CN"/>
        </w:rPr>
        <w:t>证明材料</w:t>
      </w:r>
      <w:r>
        <w:rPr>
          <w:rFonts w:hint="eastAsia" w:ascii="仿宋" w:hAnsi="仿宋" w:eastAsia="仿宋"/>
          <w:color w:val="auto"/>
          <w:sz w:val="28"/>
          <w:szCs w:val="28"/>
        </w:rPr>
        <w:t>………………… ………… ………………………（ ）</w:t>
      </w:r>
    </w:p>
    <w:p>
      <w:pPr>
        <w:overflowPunct w:val="0"/>
        <w:jc w:val="center"/>
        <w:rPr>
          <w:rFonts w:ascii="仿宋" w:hAnsi="仿宋" w:eastAsia="仿宋"/>
          <w:color w:val="auto"/>
          <w:sz w:val="32"/>
          <w:szCs w:val="32"/>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pStyle w:val="4"/>
        <w:overflowPunct w:val="0"/>
        <w:spacing w:line="415" w:lineRule="auto"/>
        <w:ind w:firstLine="561" w:firstLineChars="200"/>
        <w:rPr>
          <w:rFonts w:hint="eastAsia" w:ascii="仿宋" w:hAnsi="仿宋" w:eastAsia="仿宋"/>
          <w:color w:val="auto"/>
          <w:sz w:val="28"/>
          <w:lang w:eastAsia="zh-CN"/>
        </w:rPr>
      </w:pPr>
      <w:bookmarkStart w:id="44" w:name="_Toc482106468"/>
      <w:bookmarkStart w:id="45" w:name="_Toc508179919"/>
      <w:bookmarkStart w:id="46" w:name="_Toc27116"/>
      <w:bookmarkStart w:id="47" w:name="_Toc14935"/>
      <w:bookmarkStart w:id="48" w:name="_Toc28473"/>
      <w:bookmarkStart w:id="49" w:name="_Toc515961878"/>
      <w:bookmarkStart w:id="50" w:name="_Toc511901340"/>
      <w:bookmarkStart w:id="51" w:name="_Toc20679"/>
      <w:r>
        <w:rPr>
          <w:rFonts w:hint="eastAsia" w:ascii="仿宋" w:hAnsi="仿宋" w:eastAsia="仿宋"/>
          <w:color w:val="auto"/>
          <w:sz w:val="28"/>
        </w:rPr>
        <w:t>格式三</w:t>
      </w:r>
      <w:bookmarkEnd w:id="44"/>
      <w:bookmarkEnd w:id="45"/>
      <w:bookmarkEnd w:id="46"/>
      <w:bookmarkEnd w:id="47"/>
      <w:bookmarkEnd w:id="48"/>
      <w:bookmarkEnd w:id="49"/>
      <w:bookmarkEnd w:id="50"/>
      <w:bookmarkEnd w:id="51"/>
      <w:r>
        <w:rPr>
          <w:rFonts w:hint="eastAsia" w:ascii="仿宋" w:hAnsi="仿宋" w:eastAsia="仿宋"/>
          <w:color w:val="auto"/>
          <w:sz w:val="28"/>
          <w:lang w:eastAsia="zh-CN"/>
        </w:rPr>
        <w:t>：</w:t>
      </w:r>
    </w:p>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仿宋_GB2312" w:cs="Times New Roman"/>
          <w:sz w:val="32"/>
          <w:szCs w:val="32"/>
          <w:lang w:val="en-US" w:eastAsia="zh-CN"/>
        </w:rPr>
        <w:t>供应商投标承诺书</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鄂尔多斯市空港实业有限公司：</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本投标人在参与XXXX项目（项目编号：XXXX）中做出如下承诺：</w:t>
      </w:r>
    </w:p>
    <w:p>
      <w:pPr>
        <w:numPr>
          <w:ilvl w:val="0"/>
          <w:numId w:val="6"/>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拥护国家治理政府采购领域商业贿赂工作决策，自觉遏制商业贿赂行为；</w:t>
      </w:r>
    </w:p>
    <w:p>
      <w:pPr>
        <w:numPr>
          <w:ilvl w:val="0"/>
          <w:numId w:val="6"/>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不向采购人、招标代理机构行贿或者提供不正当利益；</w:t>
      </w:r>
    </w:p>
    <w:p>
      <w:pPr>
        <w:numPr>
          <w:ilvl w:val="0"/>
          <w:numId w:val="6"/>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严格执行采购文件，在采购过程中不与采购人私下协商谈判；</w:t>
      </w:r>
    </w:p>
    <w:p>
      <w:pPr>
        <w:numPr>
          <w:ilvl w:val="0"/>
          <w:numId w:val="6"/>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不与采购人、招标代理机构或者其他供应商恶意串通；</w:t>
      </w:r>
    </w:p>
    <w:p>
      <w:pPr>
        <w:numPr>
          <w:ilvl w:val="0"/>
          <w:numId w:val="6"/>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保证公平竞争，不提供虚假材料谋取成交资格；</w:t>
      </w:r>
    </w:p>
    <w:p>
      <w:pPr>
        <w:numPr>
          <w:ilvl w:val="0"/>
          <w:numId w:val="6"/>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自觉维护采购市场秩序，不以不正当手段诋毁和排挤其他供应商；</w:t>
      </w:r>
    </w:p>
    <w:p>
      <w:pPr>
        <w:numPr>
          <w:ilvl w:val="0"/>
          <w:numId w:val="6"/>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按照采购内容和标准，在规定时限内与采购人签订采购合同；</w:t>
      </w:r>
    </w:p>
    <w:p>
      <w:pPr>
        <w:numPr>
          <w:ilvl w:val="0"/>
          <w:numId w:val="6"/>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成交后严格履行合同，不与采购人私自更改合同或降低合同标准，损公肥私。</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如违背上述承诺，自愿按有关法律、法规、规章和制度的规定接受处罚。</w:t>
      </w:r>
    </w:p>
    <w:p>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投标人法定代表人（或法定代表授权人）签字：</w:t>
      </w:r>
    </w:p>
    <w:p>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投标人（签章）：</w:t>
      </w:r>
    </w:p>
    <w:p>
      <w:pPr>
        <w:pStyle w:val="6"/>
        <w:wordWrap w:val="0"/>
        <w:jc w:val="right"/>
        <w:rPr>
          <w:rFonts w:hint="default" w:eastAsia="仿宋_GB2312"/>
          <w:lang w:val="en-US" w:eastAsia="zh-CN"/>
        </w:rPr>
      </w:pPr>
      <w:r>
        <w:rPr>
          <w:rFonts w:hint="eastAsia" w:ascii="仿宋_GB2312" w:hAnsi="仿宋_GB2312" w:eastAsia="仿宋_GB2312" w:cs="仿宋_GB2312"/>
          <w:sz w:val="28"/>
          <w:szCs w:val="28"/>
        </w:rPr>
        <w:t>年    月    日</w:t>
      </w:r>
      <w:r>
        <w:rPr>
          <w:rFonts w:hint="eastAsia" w:ascii="仿宋_GB2312" w:hAnsi="仿宋_GB2312" w:eastAsia="仿宋_GB2312" w:cs="仿宋_GB2312"/>
          <w:sz w:val="28"/>
          <w:szCs w:val="28"/>
          <w:lang w:val="en-US" w:eastAsia="zh-CN"/>
        </w:rPr>
        <w:t xml:space="preserve">   </w:t>
      </w:r>
    </w:p>
    <w:p>
      <w:pPr>
        <w:keepNext w:val="0"/>
        <w:keepLines w:val="0"/>
        <w:pageBreakBefore w:val="0"/>
        <w:kinsoku/>
        <w:wordWrap/>
        <w:overflowPunct/>
        <w:topLinePunct w:val="0"/>
        <w:autoSpaceDE/>
        <w:autoSpaceDN/>
        <w:bidi w:val="0"/>
        <w:adjustRightInd/>
        <w:snapToGrid/>
        <w:textAlignment w:val="auto"/>
        <w:outlineLvl w:val="9"/>
        <w:rPr>
          <w:rFonts w:hint="eastAsia" w:ascii="仿宋_GB2312"/>
          <w:sz w:val="32"/>
          <w:szCs w:val="32"/>
          <w:lang w:val="en-US" w:eastAsia="zh-CN"/>
        </w:rPr>
      </w:pPr>
    </w:p>
    <w:p>
      <w:pPr>
        <w:pStyle w:val="4"/>
        <w:overflowPunct w:val="0"/>
        <w:spacing w:line="415" w:lineRule="auto"/>
        <w:ind w:firstLine="561" w:firstLineChars="200"/>
        <w:rPr>
          <w:rFonts w:hint="default" w:ascii="仿宋" w:hAnsi="仿宋" w:eastAsia="仿宋"/>
          <w:color w:val="auto"/>
          <w:sz w:val="28"/>
          <w:lang w:val="en-US" w:eastAsia="zh-CN"/>
        </w:rPr>
      </w:pPr>
      <w:r>
        <w:rPr>
          <w:rFonts w:hint="eastAsia" w:ascii="仿宋" w:hAnsi="仿宋" w:eastAsia="仿宋"/>
          <w:color w:val="auto"/>
          <w:sz w:val="28"/>
          <w:lang w:val="en-US" w:eastAsia="zh-CN"/>
        </w:rPr>
        <w:t>格式四：</w:t>
      </w:r>
    </w:p>
    <w:p/>
    <w:p>
      <w:pPr>
        <w:overflowPunct w:val="0"/>
        <w:spacing w:line="520" w:lineRule="exact"/>
        <w:jc w:val="center"/>
        <w:rPr>
          <w:rFonts w:ascii="仿宋" w:hAnsi="仿宋" w:eastAsia="仿宋"/>
          <w:bCs/>
          <w:color w:val="auto"/>
          <w:sz w:val="28"/>
          <w:szCs w:val="28"/>
        </w:rPr>
      </w:pPr>
      <w:r>
        <w:rPr>
          <w:rFonts w:hint="eastAsia" w:ascii="仿宋" w:hAnsi="仿宋" w:eastAsia="仿宋"/>
          <w:bCs/>
          <w:color w:val="auto"/>
          <w:sz w:val="28"/>
          <w:szCs w:val="28"/>
        </w:rPr>
        <w:t>投标承诺书</w:t>
      </w:r>
    </w:p>
    <w:p>
      <w:pPr>
        <w:overflowPunct w:val="0"/>
        <w:spacing w:line="520" w:lineRule="exact"/>
        <w:ind w:firstLine="56" w:firstLineChars="20"/>
        <w:rPr>
          <w:rFonts w:ascii="仿宋" w:hAnsi="仿宋" w:eastAsia="仿宋"/>
          <w:color w:val="auto"/>
          <w:sz w:val="28"/>
          <w:szCs w:val="28"/>
        </w:rPr>
      </w:pPr>
      <w:r>
        <w:rPr>
          <w:rFonts w:hint="eastAsia" w:ascii="仿宋" w:hAnsi="仿宋" w:eastAsia="仿宋"/>
          <w:color w:val="auto"/>
          <w:sz w:val="28"/>
          <w:szCs w:val="28"/>
          <w:lang w:eastAsia="zh-CN"/>
        </w:rPr>
        <w:t>鄂尔多斯市</w:t>
      </w:r>
      <w:r>
        <w:rPr>
          <w:rFonts w:hint="eastAsia" w:ascii="仿宋" w:hAnsi="仿宋" w:eastAsia="仿宋"/>
          <w:color w:val="auto"/>
          <w:sz w:val="28"/>
          <w:szCs w:val="28"/>
          <w:lang w:val="en-US" w:eastAsia="zh-CN"/>
        </w:rPr>
        <w:t>空港实业</w:t>
      </w:r>
      <w:r>
        <w:rPr>
          <w:rFonts w:hint="eastAsia" w:ascii="仿宋" w:hAnsi="仿宋" w:eastAsia="仿宋"/>
          <w:color w:val="auto"/>
          <w:sz w:val="28"/>
          <w:szCs w:val="28"/>
          <w:lang w:eastAsia="zh-CN"/>
        </w:rPr>
        <w:t>有限公司</w:t>
      </w:r>
      <w:r>
        <w:rPr>
          <w:rFonts w:hint="eastAsia" w:ascii="仿宋" w:hAnsi="仿宋" w:eastAsia="仿宋"/>
          <w:color w:val="auto"/>
          <w:sz w:val="28"/>
          <w:szCs w:val="28"/>
        </w:rPr>
        <w:t xml:space="preserve">： </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1.按照已收到的项目编号为</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的</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2.一旦我方中标，我方保证在合同签订后履行服务内容。</w:t>
      </w:r>
    </w:p>
    <w:p>
      <w:pPr>
        <w:overflowPunct w:val="0"/>
        <w:spacing w:line="520" w:lineRule="exact"/>
        <w:ind w:firstLine="57"/>
        <w:rPr>
          <w:rFonts w:ascii="仿宋" w:hAnsi="仿宋" w:eastAsia="仿宋"/>
          <w:color w:val="auto"/>
          <w:sz w:val="28"/>
          <w:szCs w:val="28"/>
        </w:rPr>
      </w:pPr>
      <w:r>
        <w:rPr>
          <w:rFonts w:hint="eastAsia" w:ascii="仿宋" w:hAnsi="仿宋" w:eastAsia="仿宋"/>
          <w:color w:val="auto"/>
          <w:sz w:val="28"/>
          <w:szCs w:val="28"/>
        </w:rPr>
        <w:t xml:space="preserve">    3.我方同意所递交的响应文件在“投标须知”规定的投标有效期内有效，在此期间内我方的投标如能中标，我方将受此约束。</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4.我方郑重声明：所提供的响应文件内容全部真实有效。</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5.我方</w:t>
      </w:r>
      <w:r>
        <w:rPr>
          <w:rFonts w:hint="eastAsia" w:ascii="仿宋" w:hAnsi="仿宋" w:eastAsia="仿宋"/>
          <w:color w:val="auto"/>
          <w:kern w:val="0"/>
          <w:sz w:val="28"/>
          <w:szCs w:val="28"/>
        </w:rPr>
        <w:t>接受招标文件所列须知中关于没收投标保证金的约定。</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6.我方同意提供</w:t>
      </w:r>
      <w:r>
        <w:rPr>
          <w:rFonts w:hint="eastAsia" w:ascii="仿宋" w:hAnsi="仿宋" w:eastAsia="仿宋"/>
          <w:color w:val="auto"/>
          <w:kern w:val="0"/>
          <w:sz w:val="28"/>
          <w:szCs w:val="28"/>
        </w:rPr>
        <w:t>按照贵方</w:t>
      </w:r>
      <w:r>
        <w:rPr>
          <w:rFonts w:hint="eastAsia" w:ascii="仿宋" w:hAnsi="仿宋" w:eastAsia="仿宋"/>
          <w:color w:val="auto"/>
          <w:sz w:val="28"/>
          <w:szCs w:val="28"/>
        </w:rPr>
        <w:t>可能另外要求的与其投标有关的任何数据或资料。除非另外达成协议并生效，否则，中标通知书和本响应文件将构成约束双方合同的组成部分。</w:t>
      </w:r>
    </w:p>
    <w:p>
      <w:pPr>
        <w:overflowPunct w:val="0"/>
        <w:spacing w:line="520" w:lineRule="exact"/>
        <w:ind w:firstLine="845" w:firstLineChars="302"/>
        <w:rPr>
          <w:rFonts w:ascii="仿宋" w:hAnsi="仿宋" w:eastAsia="仿宋"/>
          <w:color w:val="auto"/>
          <w:kern w:val="0"/>
          <w:sz w:val="28"/>
          <w:szCs w:val="28"/>
          <w:u w:val="single"/>
        </w:rPr>
      </w:pPr>
      <w:r>
        <w:rPr>
          <w:rFonts w:hint="eastAsia" w:ascii="仿宋" w:hAnsi="仿宋" w:eastAsia="仿宋"/>
          <w:color w:val="auto"/>
          <w:kern w:val="0"/>
          <w:sz w:val="28"/>
          <w:szCs w:val="28"/>
        </w:rPr>
        <w:t>供应商名称：</w:t>
      </w:r>
    </w:p>
    <w:p>
      <w:pPr>
        <w:overflowPunct w:val="0"/>
        <w:autoSpaceDE w:val="0"/>
        <w:autoSpaceDN w:val="0"/>
        <w:adjustRightInd w:val="0"/>
        <w:spacing w:line="520" w:lineRule="exact"/>
        <w:ind w:right="246" w:firstLine="840" w:firstLineChars="300"/>
        <w:rPr>
          <w:rFonts w:ascii="仿宋" w:hAnsi="仿宋" w:eastAsia="仿宋"/>
          <w:color w:val="auto"/>
          <w:sz w:val="28"/>
          <w:szCs w:val="28"/>
        </w:rPr>
      </w:pPr>
      <w:r>
        <w:rPr>
          <w:rFonts w:hint="eastAsia" w:ascii="仿宋" w:hAnsi="仿宋" w:eastAsia="仿宋"/>
          <w:color w:val="auto"/>
          <w:kern w:val="0"/>
          <w:sz w:val="28"/>
          <w:szCs w:val="28"/>
        </w:rPr>
        <w:t xml:space="preserve">详细地址：                        </w:t>
      </w:r>
      <w:r>
        <w:rPr>
          <w:rFonts w:hint="eastAsia" w:ascii="仿宋" w:hAnsi="仿宋" w:eastAsia="仿宋"/>
          <w:color w:val="auto"/>
          <w:sz w:val="28"/>
          <w:szCs w:val="28"/>
        </w:rPr>
        <w:t>邮政编码：</w:t>
      </w:r>
    </w:p>
    <w:p>
      <w:pPr>
        <w:overflowPunct w:val="0"/>
        <w:autoSpaceDE w:val="0"/>
        <w:autoSpaceDN w:val="0"/>
        <w:adjustRightInd w:val="0"/>
        <w:spacing w:line="520" w:lineRule="exact"/>
        <w:ind w:right="246" w:firstLine="840" w:firstLineChars="300"/>
        <w:rPr>
          <w:rFonts w:ascii="仿宋" w:hAnsi="仿宋" w:eastAsia="仿宋"/>
          <w:color w:val="auto"/>
          <w:kern w:val="0"/>
          <w:sz w:val="28"/>
          <w:szCs w:val="28"/>
        </w:rPr>
      </w:pPr>
      <w:r>
        <w:rPr>
          <w:rFonts w:hint="eastAsia" w:ascii="仿宋" w:hAnsi="仿宋" w:eastAsia="仿宋"/>
          <w:color w:val="auto"/>
          <w:kern w:val="0"/>
          <w:sz w:val="28"/>
          <w:szCs w:val="28"/>
        </w:rPr>
        <w:t>电    话：        传    真：      电子函件：</w:t>
      </w:r>
    </w:p>
    <w:p>
      <w:pPr>
        <w:overflowPunct w:val="0"/>
        <w:autoSpaceDE w:val="0"/>
        <w:autoSpaceDN w:val="0"/>
        <w:adjustRightInd w:val="0"/>
        <w:spacing w:line="520" w:lineRule="exact"/>
        <w:ind w:right="246" w:firstLine="840" w:firstLineChars="300"/>
        <w:rPr>
          <w:rFonts w:ascii="仿宋" w:hAnsi="仿宋" w:eastAsia="仿宋"/>
          <w:color w:val="auto"/>
          <w:sz w:val="28"/>
          <w:szCs w:val="28"/>
        </w:rPr>
      </w:pPr>
      <w:r>
        <w:rPr>
          <w:rFonts w:hint="eastAsia" w:ascii="仿宋" w:hAnsi="仿宋" w:eastAsia="仿宋"/>
          <w:color w:val="auto"/>
          <w:sz w:val="28"/>
          <w:szCs w:val="28"/>
        </w:rPr>
        <w:t>供应商开户银行：                  账号/行号：</w:t>
      </w:r>
    </w:p>
    <w:p>
      <w:pPr>
        <w:overflowPunct w:val="0"/>
        <w:adjustRightInd w:val="0"/>
        <w:snapToGrid w:val="0"/>
        <w:spacing w:line="520" w:lineRule="exact"/>
        <w:ind w:firstLine="840" w:firstLineChars="300"/>
        <w:rPr>
          <w:rFonts w:ascii="仿宋" w:hAnsi="仿宋" w:eastAsia="仿宋"/>
          <w:color w:val="auto"/>
          <w:sz w:val="28"/>
          <w:szCs w:val="28"/>
        </w:rPr>
      </w:pPr>
      <w:r>
        <w:rPr>
          <w:rFonts w:hint="eastAsia" w:ascii="仿宋" w:hAnsi="仿宋" w:eastAsia="仿宋"/>
          <w:color w:val="auto"/>
          <w:sz w:val="28"/>
          <w:szCs w:val="28"/>
        </w:rPr>
        <w:t>供应商法人签字：</w:t>
      </w:r>
    </w:p>
    <w:p>
      <w:pPr>
        <w:overflowPunct w:val="0"/>
        <w:adjustRightInd w:val="0"/>
        <w:snapToGrid w:val="0"/>
        <w:spacing w:line="520" w:lineRule="exact"/>
        <w:ind w:firstLine="840" w:firstLineChars="300"/>
        <w:rPr>
          <w:rFonts w:ascii="仿宋" w:hAnsi="仿宋" w:eastAsia="仿宋"/>
          <w:color w:val="auto"/>
          <w:sz w:val="28"/>
          <w:szCs w:val="28"/>
          <w:u w:val="single"/>
        </w:rPr>
      </w:pPr>
      <w:r>
        <w:rPr>
          <w:rFonts w:hint="eastAsia" w:ascii="仿宋" w:hAnsi="仿宋" w:eastAsia="仿宋"/>
          <w:color w:val="auto"/>
          <w:sz w:val="28"/>
          <w:szCs w:val="28"/>
        </w:rPr>
        <w:t>供应商法人授权代表签字：</w:t>
      </w:r>
    </w:p>
    <w:p>
      <w:pPr>
        <w:overflowPunct w:val="0"/>
        <w:autoSpaceDE w:val="0"/>
        <w:autoSpaceDN w:val="0"/>
        <w:spacing w:line="520" w:lineRule="exact"/>
        <w:ind w:firstLine="5460" w:firstLineChars="1950"/>
        <w:rPr>
          <w:rFonts w:ascii="仿宋" w:hAnsi="仿宋" w:eastAsia="仿宋"/>
          <w:color w:val="auto"/>
          <w:sz w:val="28"/>
          <w:szCs w:val="28"/>
        </w:rPr>
      </w:pPr>
      <w:r>
        <w:rPr>
          <w:rFonts w:hint="eastAsia" w:ascii="仿宋" w:hAnsi="仿宋" w:eastAsia="仿宋"/>
          <w:color w:val="auto"/>
          <w:sz w:val="28"/>
          <w:szCs w:val="28"/>
        </w:rPr>
        <w:t>供应商名称(公章)：</w:t>
      </w:r>
    </w:p>
    <w:p>
      <w:pPr>
        <w:overflowPunct w:val="0"/>
        <w:autoSpaceDE w:val="0"/>
        <w:autoSpaceDN w:val="0"/>
        <w:spacing w:line="450" w:lineRule="exact"/>
        <w:ind w:firstLine="6020" w:firstLineChars="2150"/>
        <w:rPr>
          <w:rFonts w:ascii="仿宋" w:hAnsi="仿宋" w:eastAsia="仿宋"/>
          <w:color w:val="auto"/>
          <w:sz w:val="28"/>
          <w:szCs w:val="28"/>
        </w:rPr>
      </w:pPr>
      <w:r>
        <w:rPr>
          <w:rFonts w:hint="eastAsia" w:ascii="仿宋" w:hAnsi="仿宋" w:eastAsia="仿宋"/>
          <w:color w:val="auto"/>
          <w:sz w:val="28"/>
          <w:szCs w:val="28"/>
        </w:rPr>
        <w:t>年 月 日</w:t>
      </w:r>
    </w:p>
    <w:p>
      <w:pPr>
        <w:overflowPunct w:val="0"/>
        <w:autoSpaceDE w:val="0"/>
        <w:autoSpaceDN w:val="0"/>
        <w:spacing w:line="450" w:lineRule="exact"/>
        <w:ind w:firstLine="6020" w:firstLineChars="2150"/>
        <w:rPr>
          <w:rFonts w:ascii="仿宋" w:hAnsi="仿宋" w:eastAsia="仿宋"/>
          <w:color w:val="auto"/>
          <w:sz w:val="28"/>
          <w:szCs w:val="28"/>
        </w:rPr>
      </w:pPr>
    </w:p>
    <w:p>
      <w:pPr>
        <w:overflowPunct w:val="0"/>
        <w:autoSpaceDE w:val="0"/>
        <w:autoSpaceDN w:val="0"/>
        <w:spacing w:line="450" w:lineRule="exact"/>
        <w:ind w:firstLine="6020" w:firstLineChars="2150"/>
        <w:rPr>
          <w:rFonts w:ascii="仿宋" w:hAnsi="仿宋" w:eastAsia="仿宋"/>
          <w:color w:val="auto"/>
          <w:sz w:val="28"/>
          <w:szCs w:val="28"/>
        </w:rPr>
      </w:pPr>
    </w:p>
    <w:p>
      <w:pPr>
        <w:pStyle w:val="4"/>
        <w:overflowPunct w:val="0"/>
        <w:spacing w:line="415" w:lineRule="auto"/>
        <w:ind w:firstLine="561" w:firstLineChars="200"/>
        <w:outlineLvl w:val="0"/>
        <w:rPr>
          <w:rFonts w:hint="eastAsia" w:ascii="仿宋" w:hAnsi="仿宋" w:eastAsia="仿宋"/>
          <w:color w:val="auto"/>
          <w:sz w:val="28"/>
          <w:lang w:val="en-US" w:eastAsia="zh-CN"/>
        </w:rPr>
      </w:pPr>
      <w:bookmarkStart w:id="52" w:name="_Toc16038"/>
      <w:bookmarkStart w:id="53" w:name="_Toc3795"/>
      <w:bookmarkStart w:id="54" w:name="_Toc29464"/>
      <w:bookmarkStart w:id="55" w:name="_Toc511901341"/>
      <w:bookmarkStart w:id="56" w:name="_Toc508179920"/>
      <w:bookmarkStart w:id="57" w:name="_Toc482106469"/>
      <w:bookmarkStart w:id="58" w:name="_Toc2315"/>
      <w:bookmarkStart w:id="59" w:name="_Toc515961879"/>
      <w:bookmarkStart w:id="60" w:name="_Toc7984"/>
      <w:r>
        <w:rPr>
          <w:rFonts w:hint="eastAsia" w:ascii="仿宋" w:hAnsi="仿宋" w:eastAsia="仿宋"/>
          <w:color w:val="auto"/>
          <w:sz w:val="28"/>
          <w:lang w:val="en-US" w:eastAsia="zh-CN"/>
        </w:rPr>
        <w:t>格式</w:t>
      </w:r>
      <w:bookmarkEnd w:id="52"/>
      <w:bookmarkEnd w:id="53"/>
      <w:bookmarkEnd w:id="54"/>
      <w:bookmarkEnd w:id="55"/>
      <w:bookmarkEnd w:id="56"/>
      <w:bookmarkEnd w:id="57"/>
      <w:bookmarkEnd w:id="58"/>
      <w:bookmarkEnd w:id="59"/>
      <w:r>
        <w:rPr>
          <w:rFonts w:hint="eastAsia" w:ascii="仿宋" w:hAnsi="仿宋" w:eastAsia="仿宋"/>
          <w:color w:val="auto"/>
          <w:sz w:val="28"/>
          <w:lang w:val="en-US" w:eastAsia="zh-CN"/>
        </w:rPr>
        <w:t>五：</w:t>
      </w:r>
      <w:bookmarkEnd w:id="60"/>
    </w:p>
    <w:p>
      <w:pPr>
        <w:overflowPunct w:val="0"/>
        <w:jc w:val="center"/>
        <w:outlineLvl w:val="0"/>
        <w:rPr>
          <w:rFonts w:ascii="仿宋" w:hAnsi="仿宋" w:eastAsia="仿宋"/>
          <w:color w:val="auto"/>
          <w:sz w:val="28"/>
          <w:szCs w:val="28"/>
        </w:rPr>
      </w:pPr>
      <w:bookmarkStart w:id="61" w:name="_Toc29233"/>
      <w:r>
        <w:rPr>
          <w:rFonts w:hint="eastAsia" w:ascii="仿宋" w:hAnsi="仿宋" w:eastAsia="仿宋"/>
          <w:color w:val="auto"/>
          <w:sz w:val="28"/>
          <w:szCs w:val="28"/>
        </w:rPr>
        <w:t>法定代表人授权委托书</w:t>
      </w:r>
      <w:bookmarkEnd w:id="61"/>
    </w:p>
    <w:p>
      <w:pPr>
        <w:overflowPunct w:val="0"/>
        <w:spacing w:line="480" w:lineRule="exact"/>
        <w:ind w:firstLine="840" w:firstLineChars="30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 xml:space="preserve">兹委派我单位 </w:t>
      </w:r>
      <w:r>
        <w:rPr>
          <w:rFonts w:hint="eastAsia" w:ascii="仿宋" w:hAnsi="仿宋" w:eastAsia="仿宋"/>
          <w:color w:val="auto"/>
          <w:sz w:val="28"/>
          <w:szCs w:val="28"/>
        </w:rPr>
        <w:t xml:space="preserve">       </w:t>
      </w:r>
      <w:r>
        <w:rPr>
          <w:rFonts w:ascii="仿宋" w:hAnsi="仿宋" w:eastAsia="仿宋"/>
          <w:color w:val="auto"/>
          <w:sz w:val="28"/>
          <w:szCs w:val="28"/>
        </w:rPr>
        <w:t xml:space="preserve">（姓名）参加贵单位组织的          </w:t>
      </w:r>
      <w:r>
        <w:rPr>
          <w:rFonts w:hint="eastAsia" w:ascii="仿宋" w:hAnsi="仿宋" w:eastAsia="仿宋"/>
          <w:color w:val="auto"/>
          <w:sz w:val="28"/>
          <w:szCs w:val="28"/>
        </w:rPr>
        <w:t xml:space="preserve">        </w:t>
      </w:r>
      <w:r>
        <w:rPr>
          <w:rFonts w:ascii="仿宋" w:hAnsi="仿宋" w:eastAsia="仿宋"/>
          <w:color w:val="auto"/>
          <w:sz w:val="28"/>
          <w:szCs w:val="28"/>
        </w:rPr>
        <w:t>采购活动（项目编号：</w:t>
      </w:r>
      <w:r>
        <w:rPr>
          <w:rFonts w:hint="eastAsia" w:ascii="仿宋" w:hAnsi="仿宋" w:eastAsia="仿宋"/>
          <w:color w:val="auto"/>
          <w:sz w:val="28"/>
          <w:szCs w:val="28"/>
        </w:rPr>
        <w:t xml:space="preserve">          </w:t>
      </w:r>
      <w:r>
        <w:rPr>
          <w:rFonts w:ascii="仿宋" w:hAnsi="仿宋" w:eastAsia="仿宋"/>
          <w:color w:val="auto"/>
          <w:sz w:val="28"/>
          <w:szCs w:val="28"/>
        </w:rPr>
        <w:t>），委派人全权代表我单位处理本次竞标中的有关事务，并签署全部有关文件、协议及合同。我单位对委托代理人签署内容负全部责任。</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本授权书于签字盖章后生效，在贵</w:t>
      </w:r>
      <w:r>
        <w:rPr>
          <w:rFonts w:hint="eastAsia" w:ascii="仿宋" w:hAnsi="仿宋" w:eastAsia="仿宋"/>
          <w:color w:val="auto"/>
          <w:sz w:val="28"/>
          <w:szCs w:val="28"/>
        </w:rPr>
        <w:t>公司</w:t>
      </w:r>
      <w:r>
        <w:rPr>
          <w:rFonts w:ascii="仿宋" w:hAnsi="仿宋" w:eastAsia="仿宋"/>
          <w:color w:val="auto"/>
          <w:sz w:val="28"/>
          <w:szCs w:val="28"/>
        </w:rPr>
        <w:t>收到撤消授权的书面通知以前，本授权书一直有效。被授权人签署的所有文件不因授权的撤消而失效。</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委托代理人无转委权。</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特此委托。</w:t>
      </w: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pict>
          <v:shape id="Text Box 2" o:spid="_x0000_s2053" o:spt="202" type="#_x0000_t202" style="position:absolute;left:0pt;margin-left:270pt;margin-top:9.6pt;height:150pt;width:198pt;z-index:251662336;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bookmarkStart w:id="91" w:name="_GoBack"/>
      <w:r>
        <w:rPr>
          <w:rFonts w:ascii="仿宋" w:hAnsi="仿宋" w:eastAsia="仿宋"/>
          <w:color w:val="auto"/>
          <w:sz w:val="28"/>
          <w:szCs w:val="28"/>
        </w:rPr>
        <w:pict>
          <v:shape id="Text Box 3" o:spid="_x0000_s2052" o:spt="202" type="#_x0000_t202" style="position:absolute;left:0pt;margin-left:-9pt;margin-top:8.6pt;height:150pt;width:207pt;z-index:251663360;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bookmarkEnd w:id="91"/>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竞标人：（公章）</w:t>
      </w: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法定代表人：（签字）</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 xml:space="preserve">                                   年   月   日</w:t>
      </w:r>
    </w:p>
    <w:p>
      <w:pPr>
        <w:overflowPunct w:val="0"/>
        <w:spacing w:line="450" w:lineRule="exact"/>
        <w:ind w:firstLine="56" w:firstLineChars="20"/>
        <w:rPr>
          <w:rFonts w:ascii="仿宋" w:hAnsi="仿宋" w:eastAsia="仿宋"/>
          <w:color w:val="auto"/>
          <w:sz w:val="28"/>
          <w:szCs w:val="28"/>
        </w:rPr>
      </w:pPr>
    </w:p>
    <w:p>
      <w:pPr>
        <w:overflowPunct w:val="0"/>
        <w:rPr>
          <w:rFonts w:ascii="仿宋" w:hAnsi="仿宋" w:eastAsia="仿宋"/>
          <w:color w:val="auto"/>
          <w:sz w:val="28"/>
          <w:szCs w:val="28"/>
        </w:rPr>
      </w:pPr>
    </w:p>
    <w:p>
      <w:pPr>
        <w:pStyle w:val="4"/>
        <w:overflowPunct w:val="0"/>
        <w:spacing w:line="415" w:lineRule="auto"/>
        <w:ind w:firstLine="561" w:firstLineChars="200"/>
        <w:outlineLvl w:val="0"/>
        <w:rPr>
          <w:rFonts w:hint="eastAsia" w:ascii="仿宋" w:hAnsi="仿宋" w:eastAsia="仿宋"/>
          <w:color w:val="auto"/>
          <w:sz w:val="28"/>
          <w:lang w:val="en-US" w:eastAsia="zh-CN"/>
        </w:rPr>
      </w:pPr>
      <w:bookmarkStart w:id="62" w:name="_Toc6323"/>
      <w:bookmarkStart w:id="63" w:name="_Toc27668"/>
      <w:bookmarkStart w:id="64" w:name="_Toc30413"/>
      <w:bookmarkStart w:id="65" w:name="_Toc511901342"/>
      <w:bookmarkStart w:id="66" w:name="_Toc515961880"/>
      <w:bookmarkStart w:id="67" w:name="_Toc11545"/>
      <w:bookmarkStart w:id="68" w:name="_Toc508179921"/>
      <w:bookmarkStart w:id="69" w:name="_Toc482106470"/>
      <w:bookmarkStart w:id="70" w:name="_Toc17396"/>
      <w:r>
        <w:rPr>
          <w:rFonts w:hint="eastAsia" w:ascii="仿宋" w:hAnsi="仿宋" w:eastAsia="仿宋"/>
          <w:color w:val="auto"/>
          <w:sz w:val="28"/>
          <w:lang w:val="en-US" w:eastAsia="zh-CN"/>
        </w:rPr>
        <w:t>格式</w:t>
      </w:r>
      <w:bookmarkEnd w:id="62"/>
      <w:bookmarkEnd w:id="63"/>
      <w:bookmarkEnd w:id="64"/>
      <w:bookmarkEnd w:id="65"/>
      <w:bookmarkEnd w:id="66"/>
      <w:bookmarkEnd w:id="67"/>
      <w:bookmarkEnd w:id="68"/>
      <w:bookmarkEnd w:id="69"/>
      <w:r>
        <w:rPr>
          <w:rFonts w:hint="eastAsia" w:ascii="仿宋" w:hAnsi="仿宋" w:eastAsia="仿宋"/>
          <w:color w:val="auto"/>
          <w:sz w:val="28"/>
          <w:lang w:val="en-US" w:eastAsia="zh-CN"/>
        </w:rPr>
        <w:t>六：</w:t>
      </w:r>
      <w:bookmarkEnd w:id="70"/>
    </w:p>
    <w:p>
      <w:pPr>
        <w:overflowPunct w:val="0"/>
        <w:jc w:val="center"/>
        <w:outlineLvl w:val="0"/>
        <w:rPr>
          <w:rFonts w:hint="eastAsia" w:ascii="仿宋" w:hAnsi="仿宋" w:eastAsia="仿宋"/>
          <w:color w:val="auto"/>
          <w:sz w:val="28"/>
          <w:szCs w:val="28"/>
          <w:lang w:eastAsia="zh-CN"/>
        </w:rPr>
      </w:pPr>
      <w:bookmarkStart w:id="71" w:name="_Toc11657"/>
      <w:r>
        <w:rPr>
          <w:rFonts w:hint="eastAsia" w:ascii="仿宋" w:hAnsi="仿宋" w:eastAsia="仿宋"/>
          <w:color w:val="auto"/>
          <w:sz w:val="28"/>
          <w:szCs w:val="28"/>
        </w:rPr>
        <w:t>投标项目分项报价明细表</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参考</w:t>
      </w:r>
      <w:r>
        <w:rPr>
          <w:rFonts w:hint="eastAsia" w:ascii="仿宋" w:hAnsi="仿宋" w:eastAsia="仿宋"/>
          <w:color w:val="auto"/>
          <w:sz w:val="28"/>
          <w:szCs w:val="28"/>
          <w:lang w:eastAsia="zh-CN"/>
        </w:rPr>
        <w:t>）</w:t>
      </w:r>
      <w:bookmarkEnd w:id="71"/>
    </w:p>
    <w:p>
      <w:pPr>
        <w:overflowPunct w:val="0"/>
        <w:rPr>
          <w:rFonts w:ascii="仿宋" w:hAnsi="仿宋" w:eastAsia="仿宋"/>
          <w:color w:val="auto"/>
          <w:sz w:val="28"/>
          <w:szCs w:val="28"/>
        </w:rPr>
      </w:pPr>
      <w:r>
        <w:rPr>
          <w:rFonts w:hint="eastAsia" w:ascii="仿宋" w:hAnsi="仿宋" w:eastAsia="仿宋"/>
          <w:color w:val="auto"/>
          <w:sz w:val="28"/>
          <w:szCs w:val="28"/>
        </w:rPr>
        <w:t>项目名称：</w:t>
      </w:r>
    </w:p>
    <w:tbl>
      <w:tblPr>
        <w:tblStyle w:val="14"/>
        <w:tblW w:w="9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2184"/>
        <w:gridCol w:w="1650"/>
        <w:gridCol w:w="1005"/>
        <w:gridCol w:w="1410"/>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342"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序号</w:t>
            </w:r>
          </w:p>
        </w:tc>
        <w:tc>
          <w:tcPr>
            <w:tcW w:w="2184"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名称</w:t>
            </w:r>
          </w:p>
        </w:tc>
        <w:tc>
          <w:tcPr>
            <w:tcW w:w="1650" w:type="dxa"/>
            <w:vAlign w:val="center"/>
          </w:tcPr>
          <w:p>
            <w:pPr>
              <w:overflowPunct w:val="0"/>
              <w:rPr>
                <w:rFonts w:ascii="仿宋" w:hAnsi="仿宋" w:eastAsia="仿宋"/>
                <w:b/>
                <w:color w:val="auto"/>
                <w:sz w:val="24"/>
                <w:szCs w:val="28"/>
              </w:rPr>
            </w:pPr>
            <w:r>
              <w:rPr>
                <w:rFonts w:hint="eastAsia" w:ascii="仿宋" w:hAnsi="仿宋" w:eastAsia="仿宋"/>
                <w:b/>
                <w:color w:val="auto"/>
                <w:sz w:val="24"/>
                <w:szCs w:val="28"/>
              </w:rPr>
              <w:t>单价（元）</w:t>
            </w:r>
          </w:p>
        </w:tc>
        <w:tc>
          <w:tcPr>
            <w:tcW w:w="1005"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数量</w:t>
            </w:r>
          </w:p>
        </w:tc>
        <w:tc>
          <w:tcPr>
            <w:tcW w:w="1410"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总价（元）</w:t>
            </w:r>
          </w:p>
        </w:tc>
        <w:tc>
          <w:tcPr>
            <w:tcW w:w="1501"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both"/>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洗发露等耗品</w:t>
            </w: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both"/>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其他耗品</w:t>
            </w: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both"/>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电器</w:t>
            </w: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both"/>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6" w:type="dxa"/>
            <w:gridSpan w:val="2"/>
            <w:vAlign w:val="center"/>
          </w:tcPr>
          <w:p>
            <w:pPr>
              <w:overflowPunct w:val="0"/>
              <w:jc w:val="center"/>
              <w:rPr>
                <w:rFonts w:hint="eastAsia" w:ascii="仿宋" w:hAnsi="仿宋" w:eastAsia="仿宋"/>
                <w:color w:val="auto"/>
                <w:sz w:val="28"/>
                <w:szCs w:val="28"/>
                <w:highlight w:val="yellow"/>
                <w:lang w:val="en-US" w:eastAsia="zh-CN"/>
              </w:rPr>
            </w:pPr>
            <w:r>
              <w:rPr>
                <w:rFonts w:hint="eastAsia" w:ascii="仿宋" w:hAnsi="仿宋" w:eastAsia="仿宋"/>
                <w:color w:val="auto"/>
                <w:sz w:val="28"/>
                <w:szCs w:val="28"/>
                <w:highlight w:val="none"/>
                <w:lang w:val="en-US" w:eastAsia="zh-CN"/>
              </w:rPr>
              <w:t>税率</w:t>
            </w:r>
          </w:p>
        </w:tc>
        <w:tc>
          <w:tcPr>
            <w:tcW w:w="5566" w:type="dxa"/>
            <w:gridSpan w:val="4"/>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6" w:type="dxa"/>
            <w:gridSpan w:val="2"/>
            <w:vAlign w:val="center"/>
          </w:tcPr>
          <w:p>
            <w:pPr>
              <w:overflowPunct w:val="0"/>
              <w:jc w:val="both"/>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合计</w:t>
            </w: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2911" w:type="dxa"/>
            <w:gridSpan w:val="2"/>
            <w:vAlign w:val="center"/>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bl>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pStyle w:val="4"/>
        <w:overflowPunct w:val="0"/>
        <w:spacing w:line="415" w:lineRule="auto"/>
        <w:ind w:firstLine="561" w:firstLineChars="200"/>
        <w:outlineLvl w:val="0"/>
        <w:rPr>
          <w:rFonts w:hint="eastAsia" w:ascii="仿宋" w:hAnsi="仿宋" w:eastAsia="仿宋"/>
          <w:color w:val="auto"/>
          <w:sz w:val="28"/>
          <w:lang w:val="en-US" w:eastAsia="zh-CN"/>
        </w:rPr>
      </w:pPr>
      <w:bookmarkStart w:id="72" w:name="_Toc508179922"/>
      <w:bookmarkStart w:id="73" w:name="_Toc22811"/>
      <w:bookmarkStart w:id="74" w:name="_Toc359315317"/>
      <w:bookmarkStart w:id="75" w:name="_Toc515961881"/>
      <w:bookmarkStart w:id="76" w:name="_Toc4232"/>
      <w:bookmarkStart w:id="77" w:name="_Toc14614"/>
      <w:bookmarkStart w:id="78" w:name="_Toc511901343"/>
      <w:bookmarkStart w:id="79" w:name="_Toc22177"/>
      <w:bookmarkStart w:id="80" w:name="_Toc482106471"/>
      <w:bookmarkStart w:id="81" w:name="_Toc29165"/>
      <w:r>
        <w:rPr>
          <w:rFonts w:hint="eastAsia" w:ascii="仿宋" w:hAnsi="仿宋" w:eastAsia="仿宋"/>
          <w:color w:val="auto"/>
          <w:sz w:val="28"/>
          <w:lang w:val="en-US" w:eastAsia="zh-CN"/>
        </w:rPr>
        <w:t>格式七：</w:t>
      </w:r>
      <w:bookmarkEnd w:id="72"/>
      <w:bookmarkEnd w:id="73"/>
      <w:bookmarkEnd w:id="74"/>
      <w:bookmarkEnd w:id="75"/>
      <w:bookmarkEnd w:id="76"/>
      <w:bookmarkEnd w:id="77"/>
      <w:bookmarkEnd w:id="78"/>
      <w:bookmarkEnd w:id="79"/>
      <w:bookmarkEnd w:id="80"/>
      <w:bookmarkEnd w:id="81"/>
    </w:p>
    <w:p>
      <w:pPr>
        <w:overflowPunct w:val="0"/>
        <w:ind w:firstLine="560" w:firstLineChars="200"/>
        <w:jc w:val="center"/>
        <w:rPr>
          <w:rFonts w:ascii="仿宋" w:hAnsi="仿宋" w:eastAsia="仿宋"/>
          <w:color w:val="auto"/>
          <w:sz w:val="28"/>
          <w:szCs w:val="28"/>
        </w:rPr>
      </w:pPr>
      <w:r>
        <w:rPr>
          <w:rFonts w:hint="eastAsia" w:ascii="仿宋" w:hAnsi="仿宋" w:eastAsia="仿宋"/>
          <w:color w:val="auto"/>
          <w:sz w:val="28"/>
          <w:szCs w:val="28"/>
        </w:rPr>
        <w:t>项目服务方案、服务承诺和质量保证</w:t>
      </w:r>
    </w:p>
    <w:p>
      <w:pPr>
        <w:overflowPunct w:val="0"/>
        <w:autoSpaceDE w:val="0"/>
        <w:autoSpaceDN w:val="0"/>
        <w:spacing w:line="4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供应商可根据采购文件要求自行编写，服务方案、服务承诺、质量保证尽可能详细、全面，否则有可能影响供应商的得分。</w:t>
      </w:r>
    </w:p>
    <w:p>
      <w:pPr>
        <w:pStyle w:val="4"/>
        <w:overflowPunct w:val="0"/>
        <w:spacing w:line="415" w:lineRule="auto"/>
        <w:ind w:firstLine="561" w:firstLineChars="200"/>
        <w:outlineLvl w:val="0"/>
        <w:rPr>
          <w:rFonts w:hint="eastAsia" w:ascii="仿宋" w:hAnsi="仿宋" w:eastAsia="仿宋"/>
          <w:color w:val="auto"/>
          <w:sz w:val="28"/>
          <w:lang w:val="en-US" w:eastAsia="zh-CN"/>
        </w:rPr>
      </w:pPr>
      <w:bookmarkStart w:id="82" w:name="_Toc482106473"/>
      <w:bookmarkStart w:id="83" w:name="_Toc25221"/>
      <w:bookmarkStart w:id="84" w:name="_Toc9822"/>
      <w:bookmarkStart w:id="85" w:name="_Toc25307"/>
      <w:bookmarkStart w:id="86" w:name="_Toc16344"/>
      <w:bookmarkStart w:id="87" w:name="_Toc508179924"/>
      <w:bookmarkStart w:id="88" w:name="_Toc18593"/>
      <w:bookmarkStart w:id="89" w:name="_Toc511901345"/>
      <w:bookmarkStart w:id="90" w:name="_Toc515961883"/>
      <w:r>
        <w:rPr>
          <w:rFonts w:hint="eastAsia" w:ascii="仿宋" w:hAnsi="仿宋" w:eastAsia="仿宋"/>
          <w:color w:val="auto"/>
          <w:sz w:val="28"/>
          <w:lang w:val="en-US" w:eastAsia="zh-CN"/>
        </w:rPr>
        <w:t>格式八：</w:t>
      </w:r>
      <w:bookmarkEnd w:id="82"/>
      <w:bookmarkEnd w:id="83"/>
      <w:bookmarkEnd w:id="84"/>
      <w:bookmarkEnd w:id="85"/>
      <w:bookmarkEnd w:id="86"/>
      <w:bookmarkEnd w:id="87"/>
      <w:bookmarkEnd w:id="88"/>
      <w:bookmarkEnd w:id="89"/>
      <w:bookmarkEnd w:id="90"/>
      <w:r>
        <w:rPr>
          <w:rFonts w:hint="eastAsia" w:ascii="仿宋" w:hAnsi="仿宋" w:eastAsia="仿宋"/>
          <w:color w:val="auto"/>
          <w:sz w:val="28"/>
          <w:lang w:val="en-US" w:eastAsia="zh-CN"/>
        </w:rPr>
        <w:t xml:space="preserve"> </w:t>
      </w:r>
    </w:p>
    <w:p>
      <w:pPr>
        <w:overflowPunct w:val="0"/>
        <w:ind w:firstLine="560" w:firstLineChars="200"/>
        <w:jc w:val="left"/>
        <w:rPr>
          <w:rFonts w:hint="eastAsia" w:ascii="仿宋" w:hAnsi="仿宋" w:eastAsia="仿宋"/>
          <w:color w:val="auto"/>
          <w:sz w:val="28"/>
          <w:szCs w:val="28"/>
        </w:rPr>
      </w:pPr>
      <w:r>
        <w:rPr>
          <w:rFonts w:hint="eastAsia" w:ascii="仿宋" w:hAnsi="仿宋" w:eastAsia="仿宋"/>
          <w:color w:val="auto"/>
          <w:sz w:val="28"/>
          <w:szCs w:val="28"/>
        </w:rPr>
        <w:t>其他相关证明材料</w:t>
      </w:r>
    </w:p>
    <w:p>
      <w:pPr>
        <w:pStyle w:val="6"/>
      </w:pPr>
    </w:p>
    <w:p>
      <w:pPr>
        <w:pStyle w:val="3"/>
        <w:spacing w:line="360" w:lineRule="auto"/>
        <w:outlineLvl w:val="9"/>
        <w:rPr>
          <w:color w:val="auto"/>
        </w:rPr>
      </w:pPr>
    </w:p>
    <w:sectPr>
      <w:pgSz w:w="11906" w:h="16838"/>
      <w:pgMar w:top="1134" w:right="1803" w:bottom="1134" w:left="1077"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仿宋_GB2312">
    <w:altName w:val="汉仪仿宋KW"/>
    <w:panose1 w:val="02010609030101010101"/>
    <w:charset w:val="86"/>
    <w:family w:val="modern"/>
    <w:pitch w:val="default"/>
    <w:sig w:usb0="00000000" w:usb1="00000000" w:usb2="00000000" w:usb3="00000000" w:csb0="00040000" w:csb1="00000000"/>
  </w:font>
  <w:font w:name="汉仪仿宋KW">
    <w:panose1 w:val="00020600040101010101"/>
    <w:charset w:val="86"/>
    <w:family w:val="auto"/>
    <w:pitch w:val="default"/>
    <w:sig w:usb0="A00002BF" w:usb1="18EF7CFA" w:usb2="00000016" w:usb3="00000000" w:csb0="00040000" w:csb1="00000000"/>
  </w:font>
  <w:font w:name="Cambria">
    <w:altName w:val="Georgia"/>
    <w:panose1 w:val="02040503050406030204"/>
    <w:charset w:val="00"/>
    <w:family w:val="roman"/>
    <w:pitch w:val="default"/>
    <w:sig w:usb0="00000000" w:usb1="00000000" w:usb2="02000000" w:usb3="00000000" w:csb0="2000019F" w:csb1="00000000"/>
  </w:font>
  <w:font w:name="Georgia">
    <w:panose1 w:val="02040502050405020303"/>
    <w:charset w:val="00"/>
    <w:family w:val="auto"/>
    <w:pitch w:val="default"/>
    <w:sig w:usb0="00000287" w:usb1="00000000" w:usb2="00000000" w:usb3="00000000" w:csb0="2000009F" w:csb1="00000000"/>
  </w:font>
  <w:font w:name="Verdana">
    <w:panose1 w:val="020B0604030504040204"/>
    <w:charset w:val="00"/>
    <w:family w:val="swiss"/>
    <w:pitch w:val="default"/>
    <w:sig w:usb0="A10006FF" w:usb1="4000205B" w:usb2="00000010" w:usb3="00000000" w:csb0="2000019F" w:csb1="00000000"/>
  </w:font>
  <w:font w:name="仿宋">
    <w:altName w:val="汉仪仿宋KW"/>
    <w:panose1 w:val="02010609060101010101"/>
    <w:charset w:val="86"/>
    <w:family w:val="modern"/>
    <w:pitch w:val="default"/>
    <w:sig w:usb0="00000000" w:usb1="00000000" w:usb2="00000016" w:usb3="00000000" w:csb0="00040001" w:csb1="00000000"/>
  </w:font>
  <w:font w:name="方正小标宋简体">
    <w:altName w:val="汉仪书宋二KW"/>
    <w:panose1 w:val="02000000000000000000"/>
    <w:charset w:val="86"/>
    <w:family w:val="script"/>
    <w:pitch w:val="default"/>
    <w:sig w:usb0="00000000" w:usb1="00000000" w:usb2="00000000" w:usb3="00000000" w:csb0="00040000" w:csb1="00000000"/>
  </w:font>
  <w:font w:name="Tahoma">
    <w:altName w:val="Verdana"/>
    <w:panose1 w:val="020B0604030504040204"/>
    <w:charset w:val="00"/>
    <w:family w:val="auto"/>
    <w:pitch w:val="default"/>
    <w:sig w:usb0="00000000" w:usb1="00000000" w:usb2="00000029" w:usb3="00000000" w:csb0="200101FF" w:csb1="2028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楷体_GB2312">
    <w:altName w:val="汉仪楷体KW"/>
    <w:panose1 w:val="02010609030101010101"/>
    <w:charset w:val="86"/>
    <w:family w:val="modern"/>
    <w:pitch w:val="default"/>
    <w:sig w:usb0="00000000" w:usb1="00000000" w:usb2="00000000" w:usb3="00000000" w:csb0="00040000" w:csb1="00000000"/>
  </w:font>
  <w:font w:name="汉仪楷体KW">
    <w:panose1 w:val="00020600040101010101"/>
    <w:charset w:val="86"/>
    <w:family w:val="auto"/>
    <w:pitch w:val="default"/>
    <w:sig w:usb0="A00002BF" w:usb1="18EF7CFA" w:usb2="00000016" w:usb3="00000000" w:csb0="00040000" w:csb1="00000000"/>
  </w:font>
  <w:font w:name="DejaVu Sans">
    <w:panose1 w:val="020B0606030804020204"/>
    <w:charset w:val="00"/>
    <w:family w:val="auto"/>
    <w:pitch w:val="default"/>
    <w:sig w:usb0="E7006EFF" w:usb1="D200FDFF" w:usb2="0A246029" w:usb3="0400200C" w:csb0="600001FF" w:csb1="DFFF0000"/>
  </w:font>
  <w:font w:name="Noto Sans Symbols2">
    <w:panose1 w:val="020B0502040504020204"/>
    <w:charset w:val="00"/>
    <w:family w:val="auto"/>
    <w:pitch w:val="default"/>
    <w:sig w:usb0="80000003" w:usb1="0200E3E4" w:usb2="00040020" w:usb3="0580A048" w:csb0="00000001" w:csb1="00000000"/>
  </w:font>
  <w:font w:name="仿宋">
    <w:altName w:val="汉仪仿宋K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w:pict>
        <v:shape id="_x0000_s3073" o:spid="_x0000_s3073"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8"/>
                  <w:jc w:val="right"/>
                </w:pPr>
                <w:r>
                  <w:fldChar w:fldCharType="begin"/>
                </w:r>
                <w:r>
                  <w:instrText xml:space="preserve">PAGE   \* MERGEFORMAT</w:instrText>
                </w:r>
                <w:r>
                  <w:fldChar w:fldCharType="separate"/>
                </w:r>
                <w:r>
                  <w:rPr>
                    <w:lang w:val="zh-CN"/>
                  </w:rPr>
                  <w:t>2</w:t>
                </w:r>
                <w:r>
                  <w:rPr>
                    <w:lang w:val="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cs="宋体"/>
        <w:sz w:val="21"/>
        <w:szCs w:val="21"/>
      </w:rPr>
    </w:pPr>
    <w:r>
      <w:rPr>
        <w:rFonts w:hint="eastAsia" w:cs="宋体"/>
        <w:sz w:val="21"/>
        <w:szCs w:val="21"/>
        <w:lang w:eastAsia="zh-CN"/>
      </w:rPr>
      <w:t>鄂尔多斯市</w:t>
    </w:r>
    <w:r>
      <w:rPr>
        <w:rFonts w:hint="eastAsia" w:cs="宋体"/>
        <w:sz w:val="21"/>
        <w:szCs w:val="21"/>
        <w:lang w:val="en-US" w:eastAsia="zh-CN"/>
      </w:rPr>
      <w:t>空港实业</w:t>
    </w:r>
    <w:r>
      <w:rPr>
        <w:rFonts w:hint="eastAsia" w:cs="宋体"/>
        <w:sz w:val="21"/>
        <w:szCs w:val="21"/>
        <w:lang w:eastAsia="zh-CN"/>
      </w:rPr>
      <w:t>有限公司</w:t>
    </w:r>
    <w:r>
      <w:rPr>
        <w:rFonts w:hint="eastAsia" w:cs="宋体"/>
        <w:sz w:val="21"/>
        <w:szCs w:val="21"/>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C02F2"/>
    <w:multiLevelType w:val="singleLevel"/>
    <w:tmpl w:val="86EC02F2"/>
    <w:lvl w:ilvl="0" w:tentative="0">
      <w:start w:val="2"/>
      <w:numFmt w:val="chineseCounting"/>
      <w:suff w:val="nothing"/>
      <w:lvlText w:val="%1、"/>
      <w:lvlJc w:val="left"/>
      <w:rPr>
        <w:rFonts w:hint="eastAsia"/>
      </w:rPr>
    </w:lvl>
  </w:abstractNum>
  <w:abstractNum w:abstractNumId="1">
    <w:nsid w:val="9AD9DFED"/>
    <w:multiLevelType w:val="multilevel"/>
    <w:tmpl w:val="9AD9DFED"/>
    <w:lvl w:ilvl="0" w:tentative="0">
      <w:start w:val="1"/>
      <w:numFmt w:val="chineseCountingThousand"/>
      <w:lvlText w:val="第%1条 "/>
      <w:lvlJc w:val="left"/>
      <w:pPr>
        <w:tabs>
          <w:tab w:val="left" w:pos="0"/>
        </w:tabs>
        <w:ind w:left="982" w:hanging="420"/>
      </w:pPr>
      <w:rPr>
        <w:rFonts w:hint="eastAsia" w:ascii="宋体" w:hAnsi="宋体" w:eastAsia="宋体" w:cs="宋体"/>
        <w:b/>
        <w:u w:val="none" w:color="auto"/>
      </w:rPr>
    </w:lvl>
    <w:lvl w:ilvl="1" w:tentative="0">
      <w:start w:val="1"/>
      <w:numFmt w:val="lowerLetter"/>
      <w:lvlText w:val="%2)"/>
      <w:lvlJc w:val="left"/>
      <w:pPr>
        <w:tabs>
          <w:tab w:val="left" w:pos="0"/>
        </w:tabs>
        <w:ind w:left="1402" w:hanging="420"/>
      </w:pPr>
      <w:rPr>
        <w:rFonts w:hint="default" w:ascii="Times New Roman" w:hAnsi="Times New Roman" w:eastAsia="宋体" w:cs="Times New Roman"/>
        <w:u w:val="none" w:color="auto"/>
      </w:rPr>
    </w:lvl>
    <w:lvl w:ilvl="2" w:tentative="0">
      <w:start w:val="1"/>
      <w:numFmt w:val="lowerRoman"/>
      <w:lvlText w:val="%3."/>
      <w:lvlJc w:val="right"/>
      <w:pPr>
        <w:tabs>
          <w:tab w:val="left" w:pos="0"/>
        </w:tabs>
        <w:ind w:left="1822" w:hanging="420"/>
      </w:pPr>
      <w:rPr>
        <w:rFonts w:hint="default" w:ascii="Times New Roman" w:hAnsi="Times New Roman" w:eastAsia="宋体" w:cs="Times New Roman"/>
        <w:u w:val="none" w:color="auto"/>
      </w:rPr>
    </w:lvl>
    <w:lvl w:ilvl="3" w:tentative="0">
      <w:start w:val="1"/>
      <w:numFmt w:val="decimal"/>
      <w:lvlText w:val="%4."/>
      <w:lvlJc w:val="left"/>
      <w:pPr>
        <w:tabs>
          <w:tab w:val="left" w:pos="0"/>
        </w:tabs>
        <w:ind w:left="2242" w:hanging="420"/>
      </w:pPr>
      <w:rPr>
        <w:rFonts w:hint="default" w:ascii="Times New Roman" w:hAnsi="Times New Roman" w:eastAsia="宋体" w:cs="Times New Roman"/>
        <w:u w:val="none" w:color="auto"/>
      </w:rPr>
    </w:lvl>
    <w:lvl w:ilvl="4" w:tentative="0">
      <w:start w:val="1"/>
      <w:numFmt w:val="lowerLetter"/>
      <w:lvlText w:val="%5)"/>
      <w:lvlJc w:val="left"/>
      <w:pPr>
        <w:tabs>
          <w:tab w:val="left" w:pos="0"/>
        </w:tabs>
        <w:ind w:left="2662" w:hanging="420"/>
      </w:pPr>
      <w:rPr>
        <w:rFonts w:hint="default" w:ascii="Times New Roman" w:hAnsi="Times New Roman" w:eastAsia="宋体" w:cs="Times New Roman"/>
        <w:u w:val="none" w:color="auto"/>
      </w:rPr>
    </w:lvl>
    <w:lvl w:ilvl="5" w:tentative="0">
      <w:start w:val="1"/>
      <w:numFmt w:val="lowerRoman"/>
      <w:lvlText w:val="%6."/>
      <w:lvlJc w:val="right"/>
      <w:pPr>
        <w:tabs>
          <w:tab w:val="left" w:pos="0"/>
        </w:tabs>
        <w:ind w:left="3082" w:hanging="420"/>
      </w:pPr>
      <w:rPr>
        <w:rFonts w:hint="default" w:ascii="Times New Roman" w:hAnsi="Times New Roman" w:eastAsia="宋体" w:cs="Times New Roman"/>
        <w:u w:val="none" w:color="auto"/>
      </w:rPr>
    </w:lvl>
    <w:lvl w:ilvl="6" w:tentative="0">
      <w:start w:val="1"/>
      <w:numFmt w:val="decimal"/>
      <w:lvlText w:val="%7."/>
      <w:lvlJc w:val="left"/>
      <w:pPr>
        <w:tabs>
          <w:tab w:val="left" w:pos="0"/>
        </w:tabs>
        <w:ind w:left="3502" w:hanging="420"/>
      </w:pPr>
      <w:rPr>
        <w:rFonts w:hint="default" w:ascii="Times New Roman" w:hAnsi="Times New Roman" w:eastAsia="宋体" w:cs="Times New Roman"/>
        <w:u w:val="none" w:color="auto"/>
      </w:rPr>
    </w:lvl>
    <w:lvl w:ilvl="7" w:tentative="0">
      <w:start w:val="1"/>
      <w:numFmt w:val="lowerLetter"/>
      <w:lvlText w:val="%8)"/>
      <w:lvlJc w:val="left"/>
      <w:pPr>
        <w:tabs>
          <w:tab w:val="left" w:pos="0"/>
        </w:tabs>
        <w:ind w:left="3922" w:hanging="420"/>
      </w:pPr>
      <w:rPr>
        <w:rFonts w:hint="default" w:ascii="Times New Roman" w:hAnsi="Times New Roman" w:eastAsia="宋体" w:cs="Times New Roman"/>
        <w:u w:val="none" w:color="auto"/>
      </w:rPr>
    </w:lvl>
    <w:lvl w:ilvl="8" w:tentative="0">
      <w:start w:val="1"/>
      <w:numFmt w:val="lowerRoman"/>
      <w:lvlText w:val="%9."/>
      <w:lvlJc w:val="right"/>
      <w:pPr>
        <w:tabs>
          <w:tab w:val="left" w:pos="0"/>
        </w:tabs>
        <w:ind w:left="4342" w:hanging="420"/>
      </w:pPr>
      <w:rPr>
        <w:rFonts w:hint="default" w:ascii="Times New Roman" w:hAnsi="Times New Roman" w:eastAsia="宋体" w:cs="Times New Roman"/>
        <w:u w:val="none" w:color="auto"/>
      </w:rPr>
    </w:lvl>
  </w:abstractNum>
  <w:abstractNum w:abstractNumId="2">
    <w:nsid w:val="D2BCFEFF"/>
    <w:multiLevelType w:val="singleLevel"/>
    <w:tmpl w:val="D2BCFEFF"/>
    <w:lvl w:ilvl="0" w:tentative="0">
      <w:start w:val="1"/>
      <w:numFmt w:val="decimal"/>
      <w:lvlText w:val="%1."/>
      <w:lvlJc w:val="left"/>
      <w:pPr>
        <w:tabs>
          <w:tab w:val="left" w:pos="312"/>
        </w:tabs>
      </w:pPr>
    </w:lvl>
  </w:abstractNum>
  <w:abstractNum w:abstractNumId="3">
    <w:nsid w:val="1831C98F"/>
    <w:multiLevelType w:val="singleLevel"/>
    <w:tmpl w:val="1831C98F"/>
    <w:lvl w:ilvl="0" w:tentative="0">
      <w:start w:val="1"/>
      <w:numFmt w:val="decimal"/>
      <w:lvlText w:val="%1."/>
      <w:lvlJc w:val="left"/>
      <w:pPr>
        <w:tabs>
          <w:tab w:val="left" w:pos="312"/>
        </w:tabs>
      </w:pPr>
    </w:lvl>
  </w:abstractNum>
  <w:abstractNum w:abstractNumId="4">
    <w:nsid w:val="26683E51"/>
    <w:multiLevelType w:val="singleLevel"/>
    <w:tmpl w:val="26683E51"/>
    <w:lvl w:ilvl="0" w:tentative="0">
      <w:start w:val="1"/>
      <w:numFmt w:val="decimal"/>
      <w:lvlText w:val="%1."/>
      <w:lvlJc w:val="left"/>
      <w:pPr>
        <w:tabs>
          <w:tab w:val="left" w:pos="312"/>
        </w:tabs>
      </w:pPr>
    </w:lvl>
  </w:abstractNum>
  <w:abstractNum w:abstractNumId="5">
    <w:nsid w:val="5823E7B3"/>
    <w:multiLevelType w:val="multilevel"/>
    <w:tmpl w:val="5823E7B3"/>
    <w:lvl w:ilvl="0" w:tentative="0">
      <w:start w:val="3"/>
      <w:numFmt w:val="decimal"/>
      <w:suff w:val="nothing"/>
      <w:lvlText w:val="%1、"/>
      <w:lvlJc w:val="left"/>
      <w:pPr>
        <w:tabs>
          <w:tab w:val="left" w:pos="0"/>
        </w:tabs>
        <w:ind w:left="0" w:firstLine="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num w:numId="1">
    <w:abstractNumId w:val="0"/>
  </w:num>
  <w:num w:numId="2">
    <w:abstractNumId w:val="3"/>
  </w:num>
  <w:num w:numId="3">
    <w:abstractNumId w:val="4"/>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7"/>
  <w:displayHorizontalDrawingGridEvery w:val="0"/>
  <w:displayVerticalDrawingGridEvery w:val="2"/>
  <w:doNotUseMarginsForDrawingGridOrigin w:val="1"/>
  <w:drawingGridHorizontalOrigin w:val="1077"/>
  <w:drawingGridVerticalOrigin w:val="1134"/>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2EyZmExOTkyMDQ3NTJkYTIzYTQ2NTJhYWU4YzU4ZDEifQ=="/>
  </w:docVars>
  <w:rsids>
    <w:rsidRoot w:val="00D92DDD"/>
    <w:rsid w:val="00003CD1"/>
    <w:rsid w:val="000438F7"/>
    <w:rsid w:val="00044E2E"/>
    <w:rsid w:val="000462F0"/>
    <w:rsid w:val="00063B0F"/>
    <w:rsid w:val="000733A6"/>
    <w:rsid w:val="000A3A54"/>
    <w:rsid w:val="000A76B5"/>
    <w:rsid w:val="000B0441"/>
    <w:rsid w:val="000B452B"/>
    <w:rsid w:val="000D3C33"/>
    <w:rsid w:val="00104CBC"/>
    <w:rsid w:val="00107110"/>
    <w:rsid w:val="00113BAC"/>
    <w:rsid w:val="00135F55"/>
    <w:rsid w:val="00172C2B"/>
    <w:rsid w:val="00180DDF"/>
    <w:rsid w:val="001909E9"/>
    <w:rsid w:val="001B14AB"/>
    <w:rsid w:val="001C3FFE"/>
    <w:rsid w:val="001F472D"/>
    <w:rsid w:val="0021501E"/>
    <w:rsid w:val="00236744"/>
    <w:rsid w:val="00254801"/>
    <w:rsid w:val="00257707"/>
    <w:rsid w:val="00262E74"/>
    <w:rsid w:val="002676F9"/>
    <w:rsid w:val="00273511"/>
    <w:rsid w:val="002A33B0"/>
    <w:rsid w:val="002A3760"/>
    <w:rsid w:val="002A5D64"/>
    <w:rsid w:val="002A7BBF"/>
    <w:rsid w:val="002B347F"/>
    <w:rsid w:val="00304A7A"/>
    <w:rsid w:val="00316234"/>
    <w:rsid w:val="0032183A"/>
    <w:rsid w:val="003222FF"/>
    <w:rsid w:val="003342F0"/>
    <w:rsid w:val="0034197D"/>
    <w:rsid w:val="00377D6D"/>
    <w:rsid w:val="00392684"/>
    <w:rsid w:val="003A1620"/>
    <w:rsid w:val="003A7117"/>
    <w:rsid w:val="003C3565"/>
    <w:rsid w:val="003C5185"/>
    <w:rsid w:val="003D7647"/>
    <w:rsid w:val="003E129A"/>
    <w:rsid w:val="003E40FE"/>
    <w:rsid w:val="004066FE"/>
    <w:rsid w:val="00417D07"/>
    <w:rsid w:val="004269A9"/>
    <w:rsid w:val="00441CF6"/>
    <w:rsid w:val="00443ADB"/>
    <w:rsid w:val="00465278"/>
    <w:rsid w:val="004855B0"/>
    <w:rsid w:val="00486085"/>
    <w:rsid w:val="004A1FE8"/>
    <w:rsid w:val="004A6A0B"/>
    <w:rsid w:val="004A6B29"/>
    <w:rsid w:val="004B075F"/>
    <w:rsid w:val="004C6926"/>
    <w:rsid w:val="004E6335"/>
    <w:rsid w:val="004F220C"/>
    <w:rsid w:val="00501010"/>
    <w:rsid w:val="00505014"/>
    <w:rsid w:val="005121F0"/>
    <w:rsid w:val="0052054D"/>
    <w:rsid w:val="00520B66"/>
    <w:rsid w:val="00527EB7"/>
    <w:rsid w:val="00531DBB"/>
    <w:rsid w:val="005367FB"/>
    <w:rsid w:val="005479D8"/>
    <w:rsid w:val="00556BBF"/>
    <w:rsid w:val="00562D0D"/>
    <w:rsid w:val="00581B07"/>
    <w:rsid w:val="00591A82"/>
    <w:rsid w:val="00592062"/>
    <w:rsid w:val="00593F6D"/>
    <w:rsid w:val="00597E9E"/>
    <w:rsid w:val="005A256F"/>
    <w:rsid w:val="005B660B"/>
    <w:rsid w:val="005D1441"/>
    <w:rsid w:val="005D3104"/>
    <w:rsid w:val="005D3703"/>
    <w:rsid w:val="005D4EB2"/>
    <w:rsid w:val="005E2E4F"/>
    <w:rsid w:val="005E4FB4"/>
    <w:rsid w:val="00611635"/>
    <w:rsid w:val="00611861"/>
    <w:rsid w:val="00611DF0"/>
    <w:rsid w:val="00613E47"/>
    <w:rsid w:val="00616C30"/>
    <w:rsid w:val="006311F3"/>
    <w:rsid w:val="00631E39"/>
    <w:rsid w:val="00635207"/>
    <w:rsid w:val="00662F23"/>
    <w:rsid w:val="00670C15"/>
    <w:rsid w:val="00673A0D"/>
    <w:rsid w:val="0069177F"/>
    <w:rsid w:val="006A0723"/>
    <w:rsid w:val="006A5181"/>
    <w:rsid w:val="006B3F87"/>
    <w:rsid w:val="006E0071"/>
    <w:rsid w:val="006E70C4"/>
    <w:rsid w:val="007124D2"/>
    <w:rsid w:val="00712D7B"/>
    <w:rsid w:val="00750763"/>
    <w:rsid w:val="007614D6"/>
    <w:rsid w:val="007641FF"/>
    <w:rsid w:val="00774276"/>
    <w:rsid w:val="0079222C"/>
    <w:rsid w:val="007956C1"/>
    <w:rsid w:val="007D260C"/>
    <w:rsid w:val="007D7230"/>
    <w:rsid w:val="007F188F"/>
    <w:rsid w:val="008044EC"/>
    <w:rsid w:val="00805E4F"/>
    <w:rsid w:val="008223D4"/>
    <w:rsid w:val="008259CB"/>
    <w:rsid w:val="008322DE"/>
    <w:rsid w:val="00844319"/>
    <w:rsid w:val="008546BD"/>
    <w:rsid w:val="00877614"/>
    <w:rsid w:val="008B0CC7"/>
    <w:rsid w:val="008B4F25"/>
    <w:rsid w:val="008C0FBF"/>
    <w:rsid w:val="008C1A89"/>
    <w:rsid w:val="008C560D"/>
    <w:rsid w:val="00904755"/>
    <w:rsid w:val="00907683"/>
    <w:rsid w:val="009531EC"/>
    <w:rsid w:val="009B3D09"/>
    <w:rsid w:val="009D5745"/>
    <w:rsid w:val="009D62CC"/>
    <w:rsid w:val="009F21A5"/>
    <w:rsid w:val="009F57EF"/>
    <w:rsid w:val="009F6F14"/>
    <w:rsid w:val="00A16B85"/>
    <w:rsid w:val="00A22F05"/>
    <w:rsid w:val="00A30E96"/>
    <w:rsid w:val="00A33034"/>
    <w:rsid w:val="00A56F61"/>
    <w:rsid w:val="00A621DC"/>
    <w:rsid w:val="00A70A3A"/>
    <w:rsid w:val="00A71AD1"/>
    <w:rsid w:val="00A84168"/>
    <w:rsid w:val="00A93CB7"/>
    <w:rsid w:val="00A96193"/>
    <w:rsid w:val="00AB14E7"/>
    <w:rsid w:val="00AB244C"/>
    <w:rsid w:val="00AB257D"/>
    <w:rsid w:val="00AC6955"/>
    <w:rsid w:val="00B05A5A"/>
    <w:rsid w:val="00B21C42"/>
    <w:rsid w:val="00B222FB"/>
    <w:rsid w:val="00B30537"/>
    <w:rsid w:val="00B326AA"/>
    <w:rsid w:val="00B543E4"/>
    <w:rsid w:val="00B73CDB"/>
    <w:rsid w:val="00B74A6F"/>
    <w:rsid w:val="00BA1F23"/>
    <w:rsid w:val="00BA5257"/>
    <w:rsid w:val="00BA6275"/>
    <w:rsid w:val="00BC607B"/>
    <w:rsid w:val="00BD3D9B"/>
    <w:rsid w:val="00BE2C07"/>
    <w:rsid w:val="00BE7A5B"/>
    <w:rsid w:val="00BF4F1C"/>
    <w:rsid w:val="00C03E81"/>
    <w:rsid w:val="00C26C66"/>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19B8"/>
    <w:rsid w:val="00D92DDD"/>
    <w:rsid w:val="00D942FD"/>
    <w:rsid w:val="00D94A21"/>
    <w:rsid w:val="00DB2589"/>
    <w:rsid w:val="00DB4371"/>
    <w:rsid w:val="00DC6D0A"/>
    <w:rsid w:val="00DD7FB2"/>
    <w:rsid w:val="00E055C1"/>
    <w:rsid w:val="00E117D2"/>
    <w:rsid w:val="00E224E3"/>
    <w:rsid w:val="00E227F9"/>
    <w:rsid w:val="00E2589B"/>
    <w:rsid w:val="00E263DD"/>
    <w:rsid w:val="00E536A9"/>
    <w:rsid w:val="00E563ED"/>
    <w:rsid w:val="00E602A0"/>
    <w:rsid w:val="00E771CC"/>
    <w:rsid w:val="00E804A7"/>
    <w:rsid w:val="00EA4983"/>
    <w:rsid w:val="00EE35D8"/>
    <w:rsid w:val="00EE476E"/>
    <w:rsid w:val="00EF69C8"/>
    <w:rsid w:val="00F12206"/>
    <w:rsid w:val="00F138DB"/>
    <w:rsid w:val="00F2495A"/>
    <w:rsid w:val="00F32A71"/>
    <w:rsid w:val="00F60963"/>
    <w:rsid w:val="00F61170"/>
    <w:rsid w:val="00F70C82"/>
    <w:rsid w:val="00FA603A"/>
    <w:rsid w:val="00FA7DEB"/>
    <w:rsid w:val="00FB6EFC"/>
    <w:rsid w:val="00FC5A46"/>
    <w:rsid w:val="00FE03CA"/>
    <w:rsid w:val="01195E5B"/>
    <w:rsid w:val="021C31FE"/>
    <w:rsid w:val="03066D9B"/>
    <w:rsid w:val="0311513D"/>
    <w:rsid w:val="04261197"/>
    <w:rsid w:val="04CA646A"/>
    <w:rsid w:val="04D434C6"/>
    <w:rsid w:val="052F2AFB"/>
    <w:rsid w:val="05AB50AF"/>
    <w:rsid w:val="060379AA"/>
    <w:rsid w:val="067B57E2"/>
    <w:rsid w:val="06980158"/>
    <w:rsid w:val="071E5582"/>
    <w:rsid w:val="073A38EF"/>
    <w:rsid w:val="07FC3AF7"/>
    <w:rsid w:val="081E07A2"/>
    <w:rsid w:val="09D438BC"/>
    <w:rsid w:val="09E77F89"/>
    <w:rsid w:val="0B4F33B7"/>
    <w:rsid w:val="0D714F5D"/>
    <w:rsid w:val="0ED92450"/>
    <w:rsid w:val="12FD2AFB"/>
    <w:rsid w:val="132D5B19"/>
    <w:rsid w:val="13E5155D"/>
    <w:rsid w:val="140D5BF4"/>
    <w:rsid w:val="164678EF"/>
    <w:rsid w:val="16F76D06"/>
    <w:rsid w:val="172930AB"/>
    <w:rsid w:val="19537AAF"/>
    <w:rsid w:val="195C4BCD"/>
    <w:rsid w:val="1A961D01"/>
    <w:rsid w:val="1AD94B83"/>
    <w:rsid w:val="1B6E6F30"/>
    <w:rsid w:val="1BA33EB6"/>
    <w:rsid w:val="1C1453C0"/>
    <w:rsid w:val="1C477577"/>
    <w:rsid w:val="1C9347C1"/>
    <w:rsid w:val="1CAD5C91"/>
    <w:rsid w:val="1E91399D"/>
    <w:rsid w:val="1F413EC3"/>
    <w:rsid w:val="218928ED"/>
    <w:rsid w:val="224675E7"/>
    <w:rsid w:val="22A2261D"/>
    <w:rsid w:val="23775B1E"/>
    <w:rsid w:val="23C06BC8"/>
    <w:rsid w:val="25683E77"/>
    <w:rsid w:val="25EA2DE8"/>
    <w:rsid w:val="26E145B4"/>
    <w:rsid w:val="27A5613A"/>
    <w:rsid w:val="28126853"/>
    <w:rsid w:val="2AE82E75"/>
    <w:rsid w:val="2B090C49"/>
    <w:rsid w:val="2C90767E"/>
    <w:rsid w:val="2DE51610"/>
    <w:rsid w:val="2DEE3058"/>
    <w:rsid w:val="2E8E6CAA"/>
    <w:rsid w:val="306E7BAF"/>
    <w:rsid w:val="309518F7"/>
    <w:rsid w:val="30BE1EA0"/>
    <w:rsid w:val="30E74B5C"/>
    <w:rsid w:val="32271B58"/>
    <w:rsid w:val="32CF5252"/>
    <w:rsid w:val="33FD38FD"/>
    <w:rsid w:val="382F7716"/>
    <w:rsid w:val="391868EE"/>
    <w:rsid w:val="39AA099D"/>
    <w:rsid w:val="39D2142B"/>
    <w:rsid w:val="3C9D1127"/>
    <w:rsid w:val="3D176632"/>
    <w:rsid w:val="3ECB74BD"/>
    <w:rsid w:val="405D1AB0"/>
    <w:rsid w:val="41967F08"/>
    <w:rsid w:val="44AB5495"/>
    <w:rsid w:val="4593380E"/>
    <w:rsid w:val="45D837B7"/>
    <w:rsid w:val="46D50963"/>
    <w:rsid w:val="46F61FE0"/>
    <w:rsid w:val="47D413D8"/>
    <w:rsid w:val="494110D5"/>
    <w:rsid w:val="4B8509C1"/>
    <w:rsid w:val="4BBF2C34"/>
    <w:rsid w:val="4CBE7398"/>
    <w:rsid w:val="4D92310A"/>
    <w:rsid w:val="4DC61B5C"/>
    <w:rsid w:val="4E0123E9"/>
    <w:rsid w:val="4ED20D23"/>
    <w:rsid w:val="522B29AE"/>
    <w:rsid w:val="525D43B3"/>
    <w:rsid w:val="531445C2"/>
    <w:rsid w:val="532D6376"/>
    <w:rsid w:val="536A2433"/>
    <w:rsid w:val="54162A92"/>
    <w:rsid w:val="55012596"/>
    <w:rsid w:val="550C1B16"/>
    <w:rsid w:val="55E07774"/>
    <w:rsid w:val="56363A86"/>
    <w:rsid w:val="57356108"/>
    <w:rsid w:val="586134AE"/>
    <w:rsid w:val="5BDA4C8D"/>
    <w:rsid w:val="5C5C4F17"/>
    <w:rsid w:val="5D252EC0"/>
    <w:rsid w:val="5DA42BA0"/>
    <w:rsid w:val="5DD8238B"/>
    <w:rsid w:val="5DDF4560"/>
    <w:rsid w:val="5EC576EF"/>
    <w:rsid w:val="5FC513BF"/>
    <w:rsid w:val="5FE319DB"/>
    <w:rsid w:val="60A056E7"/>
    <w:rsid w:val="620A3CC4"/>
    <w:rsid w:val="64C32B9E"/>
    <w:rsid w:val="68EE7CA4"/>
    <w:rsid w:val="6A5F1528"/>
    <w:rsid w:val="6A613F62"/>
    <w:rsid w:val="6AF3501D"/>
    <w:rsid w:val="6B5167C9"/>
    <w:rsid w:val="6BCA78B3"/>
    <w:rsid w:val="6CBB38B7"/>
    <w:rsid w:val="6CD57A40"/>
    <w:rsid w:val="6D7A3DF5"/>
    <w:rsid w:val="6FE50A20"/>
    <w:rsid w:val="728E539F"/>
    <w:rsid w:val="746647EE"/>
    <w:rsid w:val="74675EAA"/>
    <w:rsid w:val="75016132"/>
    <w:rsid w:val="76320737"/>
    <w:rsid w:val="76A93542"/>
    <w:rsid w:val="776369A0"/>
    <w:rsid w:val="77701517"/>
    <w:rsid w:val="77944BDC"/>
    <w:rsid w:val="77A67C88"/>
    <w:rsid w:val="79A07BBD"/>
    <w:rsid w:val="7A7561A2"/>
    <w:rsid w:val="7B8A34CD"/>
    <w:rsid w:val="7C5A4544"/>
    <w:rsid w:val="7D242AFD"/>
    <w:rsid w:val="7D84389F"/>
    <w:rsid w:val="7EEA05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20"/>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4">
    <w:name w:val="heading 2"/>
    <w:basedOn w:val="1"/>
    <w:next w:val="1"/>
    <w:link w:val="21"/>
    <w:qFormat/>
    <w:uiPriority w:val="99"/>
    <w:pPr>
      <w:keepNext/>
      <w:keepLines/>
      <w:spacing w:line="416" w:lineRule="auto"/>
      <w:outlineLvl w:val="1"/>
    </w:pPr>
    <w:rPr>
      <w:rFonts w:ascii="Cambria" w:hAnsi="Cambria" w:eastAsia="仿宋_GB2312" w:cs="Times New Roman"/>
      <w:b/>
      <w:bCs/>
      <w:kern w:val="0"/>
      <w:sz w:val="32"/>
      <w:szCs w:val="32"/>
    </w:rPr>
  </w:style>
  <w:style w:type="paragraph" w:styleId="5">
    <w:name w:val="heading 5"/>
    <w:basedOn w:val="1"/>
    <w:next w:val="1"/>
    <w:link w:val="24"/>
    <w:semiHidden/>
    <w:unhideWhenUsed/>
    <w:qFormat/>
    <w:uiPriority w:val="9"/>
    <w:pPr>
      <w:keepNext/>
      <w:keepLines/>
      <w:spacing w:before="280" w:after="290" w:line="376" w:lineRule="auto"/>
      <w:outlineLvl w:val="4"/>
    </w:pPr>
    <w:rPr>
      <w:b/>
      <w:bCs/>
      <w:sz w:val="28"/>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6">
    <w:name w:val="Body Text"/>
    <w:basedOn w:val="1"/>
    <w:link w:val="27"/>
    <w:qFormat/>
    <w:uiPriority w:val="0"/>
    <w:pPr>
      <w:jc w:val="center"/>
    </w:pPr>
    <w:rPr>
      <w:rFonts w:ascii="Times New Roman" w:hAnsi="Times New Roman" w:cs="Times New Roman"/>
      <w:b/>
      <w:szCs w:val="20"/>
    </w:rPr>
  </w:style>
  <w:style w:type="paragraph" w:styleId="7">
    <w:name w:val="Plain Text"/>
    <w:basedOn w:val="1"/>
    <w:link w:val="22"/>
    <w:qFormat/>
    <w:uiPriority w:val="0"/>
    <w:pPr>
      <w:jc w:val="left"/>
    </w:pPr>
    <w:rPr>
      <w:rFonts w:ascii="宋体" w:hAnsi="Courier New" w:cs="Times New Roman"/>
      <w:kern w:val="0"/>
      <w:szCs w:val="20"/>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paragraph" w:styleId="12">
    <w:name w:val="Body Text 2"/>
    <w:basedOn w:val="1"/>
    <w:link w:val="26"/>
    <w:semiHidden/>
    <w:unhideWhenUsed/>
    <w:qFormat/>
    <w:uiPriority w:val="99"/>
    <w:pPr>
      <w:spacing w:after="120" w:line="480" w:lineRule="auto"/>
    </w:pPr>
    <w:rPr>
      <w:rFonts w:ascii="Times New Roman" w:hAnsi="Times New Roman" w:cs="Times New Roman"/>
      <w:szCs w:val="24"/>
    </w:rPr>
  </w:style>
  <w:style w:type="paragraph" w:styleId="13">
    <w:name w:val="Normal (Web)"/>
    <w:basedOn w:val="1"/>
    <w:qFormat/>
    <w:uiPriority w:val="0"/>
    <w:pPr>
      <w:spacing w:beforeAutospacing="1" w:afterAutospacing="1"/>
      <w:jc w:val="left"/>
    </w:pPr>
    <w:rPr>
      <w:rFonts w:cs="Times New Roman" w:asciiTheme="minorHAnsi" w:hAnsiTheme="minorHAnsi" w:eastAsiaTheme="minorEastAsia"/>
      <w:kern w:val="0"/>
      <w:sz w:val="24"/>
      <w:szCs w:val="22"/>
    </w:rPr>
  </w:style>
  <w:style w:type="character" w:styleId="16">
    <w:name w:val="Strong"/>
    <w:qFormat/>
    <w:uiPriority w:val="0"/>
    <w:rPr>
      <w:rFonts w:ascii="Verdana" w:hAnsi="Verdana"/>
      <w:b/>
      <w:bCs/>
      <w:kern w:val="0"/>
      <w:sz w:val="20"/>
      <w:szCs w:val="20"/>
      <w:lang w:eastAsia="en-US"/>
    </w:rPr>
  </w:style>
  <w:style w:type="character" w:styleId="17">
    <w:name w:val="Hyperlink"/>
    <w:basedOn w:val="15"/>
    <w:qFormat/>
    <w:uiPriority w:val="99"/>
    <w:rPr>
      <w:rFonts w:cs="Times New Roman"/>
      <w:color w:val="0000FF"/>
      <w:u w:val="single"/>
    </w:rPr>
  </w:style>
  <w:style w:type="character" w:customStyle="1" w:styleId="18">
    <w:name w:val="页眉 Char"/>
    <w:basedOn w:val="15"/>
    <w:link w:val="9"/>
    <w:qFormat/>
    <w:uiPriority w:val="99"/>
    <w:rPr>
      <w:sz w:val="18"/>
      <w:szCs w:val="18"/>
    </w:rPr>
  </w:style>
  <w:style w:type="character" w:customStyle="1" w:styleId="19">
    <w:name w:val="页脚 Char"/>
    <w:basedOn w:val="15"/>
    <w:link w:val="8"/>
    <w:qFormat/>
    <w:uiPriority w:val="99"/>
    <w:rPr>
      <w:sz w:val="18"/>
      <w:szCs w:val="18"/>
    </w:rPr>
  </w:style>
  <w:style w:type="character" w:customStyle="1" w:styleId="20">
    <w:name w:val="标题 1 Char"/>
    <w:basedOn w:val="15"/>
    <w:link w:val="3"/>
    <w:qFormat/>
    <w:uiPriority w:val="99"/>
    <w:rPr>
      <w:rFonts w:ascii="Times New Roman" w:hAnsi="Times New Roman" w:eastAsia="仿宋_GB2312" w:cs="Times New Roman"/>
      <w:b/>
      <w:bCs/>
      <w:kern w:val="44"/>
      <w:sz w:val="44"/>
      <w:szCs w:val="44"/>
    </w:rPr>
  </w:style>
  <w:style w:type="character" w:customStyle="1" w:styleId="21">
    <w:name w:val="标题 2 Char"/>
    <w:basedOn w:val="15"/>
    <w:link w:val="4"/>
    <w:qFormat/>
    <w:uiPriority w:val="99"/>
    <w:rPr>
      <w:rFonts w:ascii="Cambria" w:hAnsi="Cambria" w:eastAsia="仿宋_GB2312" w:cs="Times New Roman"/>
      <w:b/>
      <w:bCs/>
      <w:kern w:val="0"/>
      <w:sz w:val="32"/>
      <w:szCs w:val="32"/>
    </w:rPr>
  </w:style>
  <w:style w:type="character" w:customStyle="1" w:styleId="22">
    <w:name w:val="纯文本 Char"/>
    <w:basedOn w:val="15"/>
    <w:link w:val="7"/>
    <w:qFormat/>
    <w:uiPriority w:val="0"/>
    <w:rPr>
      <w:rFonts w:ascii="宋体" w:hAnsi="Courier New" w:eastAsia="宋体" w:cs="Times New Roman"/>
      <w:kern w:val="0"/>
      <w:szCs w:val="20"/>
    </w:rPr>
  </w:style>
  <w:style w:type="paragraph" w:styleId="23">
    <w:name w:val="List Paragraph"/>
    <w:basedOn w:val="1"/>
    <w:qFormat/>
    <w:uiPriority w:val="34"/>
    <w:pPr>
      <w:ind w:firstLine="420" w:firstLineChars="200"/>
    </w:pPr>
  </w:style>
  <w:style w:type="character" w:customStyle="1" w:styleId="24">
    <w:name w:val="标题 5 Char"/>
    <w:basedOn w:val="15"/>
    <w:link w:val="5"/>
    <w:semiHidden/>
    <w:qFormat/>
    <w:uiPriority w:val="9"/>
    <w:rPr>
      <w:rFonts w:ascii="Calibri" w:hAnsi="Calibri" w:eastAsia="宋体" w:cs="Calibri"/>
      <w:b/>
      <w:bCs/>
      <w:sz w:val="28"/>
      <w:szCs w:val="28"/>
    </w:rPr>
  </w:style>
  <w:style w:type="paragraph" w:customStyle="1" w:styleId="25">
    <w:name w:val="列出段落1"/>
    <w:basedOn w:val="1"/>
    <w:qFormat/>
    <w:uiPriority w:val="34"/>
    <w:pPr>
      <w:ind w:firstLine="420" w:firstLineChars="200"/>
    </w:pPr>
    <w:rPr>
      <w:rFonts w:cs="Times New Roman"/>
      <w:szCs w:val="22"/>
    </w:rPr>
  </w:style>
  <w:style w:type="character" w:customStyle="1" w:styleId="26">
    <w:name w:val="正文文本 2 Char"/>
    <w:basedOn w:val="15"/>
    <w:link w:val="12"/>
    <w:semiHidden/>
    <w:qFormat/>
    <w:uiPriority w:val="99"/>
    <w:rPr>
      <w:rFonts w:ascii="Times New Roman" w:hAnsi="Times New Roman" w:eastAsia="宋体" w:cs="Times New Roman"/>
      <w:szCs w:val="24"/>
    </w:rPr>
  </w:style>
  <w:style w:type="character" w:customStyle="1" w:styleId="27">
    <w:name w:val="正文文本 Char"/>
    <w:basedOn w:val="15"/>
    <w:link w:val="6"/>
    <w:qFormat/>
    <w:uiPriority w:val="0"/>
    <w:rPr>
      <w:rFonts w:ascii="Times New Roman" w:hAnsi="Times New Roman" w:eastAsia="宋体" w:cs="Times New Roman"/>
      <w:b/>
      <w:szCs w:val="20"/>
    </w:rPr>
  </w:style>
  <w:style w:type="paragraph" w:styleId="28">
    <w:name w:val="No Spacing"/>
    <w:qFormat/>
    <w:uiPriority w:val="0"/>
    <w:pPr>
      <w:widowControl w:val="0"/>
      <w:jc w:val="both"/>
    </w:pPr>
    <w:rPr>
      <w:rFonts w:ascii="Calibri" w:hAnsi="Calibri" w:eastAsia="宋体" w:cs="Times New Roman"/>
      <w:kern w:val="2"/>
      <w:sz w:val="21"/>
      <w:lang w:val="en-US" w:eastAsia="zh-CN" w:bidi="ar-SA"/>
    </w:rPr>
  </w:style>
  <w:style w:type="paragraph" w:customStyle="1" w:styleId="29">
    <w:name w:val="Normal_1"/>
    <w:qFormat/>
    <w:uiPriority w:val="0"/>
    <w:rPr>
      <w:rFonts w:ascii="Calibri" w:hAnsi="Calibri" w:eastAsia="宋体" w:cs="Times New Roman"/>
      <w:sz w:val="24"/>
      <w:szCs w:val="24"/>
      <w:lang w:val="en-US" w:eastAsia="zh-CN" w:bidi="ar-SA"/>
    </w:rPr>
  </w:style>
  <w:style w:type="character" w:customStyle="1" w:styleId="30">
    <w:name w:val="font81"/>
    <w:basedOn w:val="15"/>
    <w:qFormat/>
    <w:uiPriority w:val="0"/>
    <w:rPr>
      <w:rFonts w:hint="eastAsia" w:ascii="仿宋" w:hAnsi="仿宋" w:eastAsia="仿宋" w:cs="仿宋"/>
      <w:color w:val="000000"/>
      <w:sz w:val="28"/>
      <w:szCs w:val="28"/>
      <w:u w:val="none"/>
    </w:rPr>
  </w:style>
  <w:style w:type="character" w:customStyle="1" w:styleId="31">
    <w:name w:val="font112"/>
    <w:basedOn w:val="15"/>
    <w:qFormat/>
    <w:uiPriority w:val="0"/>
    <w:rPr>
      <w:rFonts w:hint="eastAsia" w:ascii="仿宋" w:hAnsi="仿宋" w:eastAsia="仿宋" w:cs="仿宋"/>
      <w:color w:val="000000"/>
      <w:sz w:val="20"/>
      <w:szCs w:val="20"/>
      <w:u w:val="none"/>
    </w:rPr>
  </w:style>
  <w:style w:type="character" w:customStyle="1" w:styleId="32">
    <w:name w:val="font121"/>
    <w:basedOn w:val="15"/>
    <w:qFormat/>
    <w:uiPriority w:val="0"/>
    <w:rPr>
      <w:rFonts w:hint="eastAsia" w:ascii="仿宋" w:hAnsi="仿宋" w:eastAsia="仿宋" w:cs="仿宋"/>
      <w:color w:val="000000"/>
      <w:sz w:val="24"/>
      <w:szCs w:val="24"/>
      <w:u w:val="none"/>
    </w:rPr>
  </w:style>
  <w:style w:type="paragraph" w:customStyle="1" w:styleId="33">
    <w:name w:val="标题1"/>
    <w:basedOn w:val="1"/>
    <w:qFormat/>
    <w:uiPriority w:val="99"/>
    <w:pPr>
      <w:tabs>
        <w:tab w:val="left" w:pos="941"/>
      </w:tabs>
      <w:spacing w:before="120" w:after="120"/>
      <w:outlineLvl w:val="0"/>
    </w:pPr>
    <w:rPr>
      <w:rFonts w:ascii="Times New Roman" w:hAnsi="Times New Roman"/>
      <w:kern w:val="0"/>
      <w:sz w:val="24"/>
      <w:szCs w:val="20"/>
    </w:rPr>
  </w:style>
  <w:style w:type="paragraph" w:customStyle="1" w:styleId="34">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8.jpeg"/><Relationship Id="rId32" Type="http://schemas.openxmlformats.org/officeDocument/2006/relationships/image" Target="media/image27.png"/><Relationship Id="rId31" Type="http://schemas.openxmlformats.org/officeDocument/2006/relationships/image" Target="media/image26.jpeg"/><Relationship Id="rId30" Type="http://schemas.openxmlformats.org/officeDocument/2006/relationships/image" Target="media/image25.png"/><Relationship Id="rId3" Type="http://schemas.openxmlformats.org/officeDocument/2006/relationships/header" Target="head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jpeg"/><Relationship Id="rId26" Type="http://schemas.openxmlformats.org/officeDocument/2006/relationships/image" Target="media/image21.jpeg"/><Relationship Id="rId25" Type="http://schemas.openxmlformats.org/officeDocument/2006/relationships/image" Target="media/image20.jpe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jpe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textRotate="1"/>
    <customShpInfo spid="_x0000_s2053"/>
    <customShpInfo spid="_x0000_s2052"/>
  </customShpExts>
</s:customData>
</file>

<file path=customXml/item2.xml><?xml version="1.0" encoding="utf-8"?>
<b:Sources xmlns="http://schemas.openxmlformats.org/officeDocument/2006/bibliography" xmlns:b="http://schemas.openxmlformats.org/officeDocument/2006/bibliography" StyleName="APA Fifth Edition" SelectedStyle="\APA.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17AC65-720F-4AED-9AC8-A3C9A508CC83}">
  <ds:schemaRefs/>
</ds:datastoreItem>
</file>

<file path=docProps/app.xml><?xml version="1.0" encoding="utf-8"?>
<Properties xmlns="http://schemas.openxmlformats.org/officeDocument/2006/extended-properties" xmlns:vt="http://schemas.openxmlformats.org/officeDocument/2006/docPropsVTypes">
  <Pages>1</Pages>
  <Words>9911</Words>
  <Characters>10674</Characters>
  <Lines>1</Lines>
  <Paragraphs>1</Paragraphs>
  <TotalTime>7</TotalTime>
  <ScaleCrop>false</ScaleCrop>
  <LinksUpToDate>false</LinksUpToDate>
  <CharactersWithSpaces>11215</CharactersWithSpaces>
  <Application>WPS Office WWO_base_provider_20221031101348-1857be321c</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2018-03-06T10:03:00Z</dcterms:created>
  <dc:creator>匿名用户</dc:creator>
  <cp:lastModifiedBy>吴</cp:lastModifiedBy>
  <cp:lastPrinted>2022-08-31T16:58:00Z</cp:lastPrinted>
  <dcterms:modified xsi:type="dcterms:W3CDTF">2023-07-03T10:09:11Z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D6D23B1F75DE4E5FAEE7DE1338BDBBF2</vt:lpwstr>
  </property>
</Properties>
</file>